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90788" w14:textId="31325AFC" w:rsidR="00C50089" w:rsidRPr="003F0E81" w:rsidRDefault="00C50089" w:rsidP="00C50089">
      <w:pPr>
        <w:pStyle w:val="Nadpis1"/>
        <w:pBdr>
          <w:top w:val="single" w:sz="4" w:space="1" w:color="44546A" w:themeColor="text2"/>
          <w:bottom w:val="single" w:sz="4" w:space="1" w:color="44546A" w:themeColor="text2"/>
        </w:pBdr>
        <w:shd w:val="clear" w:color="auto" w:fill="44546A" w:themeFill="text2"/>
        <w:spacing w:before="240"/>
        <w:ind w:left="-1440" w:right="-1440" w:firstLine="1440"/>
        <w:rPr>
          <w:rFonts w:ascii="Garamond" w:hAnsi="Garamond"/>
          <w:color w:val="FFFFFF" w:themeColor="background1"/>
          <w:lang w:val="cs-CZ"/>
        </w:rPr>
      </w:pPr>
      <w:r w:rsidRPr="003F0E81">
        <w:rPr>
          <w:rFonts w:ascii="Garamond" w:hAnsi="Garamond"/>
          <w:color w:val="FFFFFF" w:themeColor="background1"/>
          <w:lang w:val="cs-CZ"/>
        </w:rPr>
        <w:t>DOPADY KORONAVIRU NA KULTURNÍ SEKTOR – VÝTVARNÉ UMĚNÍ</w:t>
      </w:r>
    </w:p>
    <w:p w14:paraId="50599340" w14:textId="7ED75B69" w:rsidR="00C50089" w:rsidRPr="003F0E81" w:rsidRDefault="00C50089" w:rsidP="003F0E81">
      <w:pPr>
        <w:pStyle w:val="Bezmezer"/>
        <w:rPr>
          <w:lang w:bidi="en-US"/>
        </w:rPr>
      </w:pPr>
      <w:r w:rsidRPr="003F0E81">
        <w:rPr>
          <w:lang w:bidi="en-US"/>
        </w:rPr>
        <w:t xml:space="preserve">Závěrečná zpráva za oblast výtvarného umění vycházející z výzkumu </w:t>
      </w:r>
      <w:r w:rsidR="003F0E81" w:rsidRPr="003F0E81">
        <w:rPr>
          <w:lang w:bidi="en-US"/>
        </w:rPr>
        <w:t xml:space="preserve">Mapování dopadů </w:t>
      </w:r>
      <w:proofErr w:type="spellStart"/>
      <w:r w:rsidR="003F0E81" w:rsidRPr="003F0E81">
        <w:rPr>
          <w:lang w:bidi="en-US"/>
        </w:rPr>
        <w:t>koronaviru</w:t>
      </w:r>
      <w:proofErr w:type="spellEnd"/>
      <w:r w:rsidR="003F0E81" w:rsidRPr="003F0E81">
        <w:rPr>
          <w:lang w:bidi="en-US"/>
        </w:rPr>
        <w:t xml:space="preserve"> na kulturní sektor prov</w:t>
      </w:r>
      <w:r w:rsidR="003F0E81">
        <w:rPr>
          <w:lang w:bidi="en-US"/>
        </w:rPr>
        <w:t xml:space="preserve">edeným zástupci Institutu umění – Divadelního ústavu, Katedry </w:t>
      </w:r>
      <w:proofErr w:type="spellStart"/>
      <w:r w:rsidR="003F0E81">
        <w:rPr>
          <w:lang w:bidi="en-US"/>
        </w:rPr>
        <w:t>arts</w:t>
      </w:r>
      <w:proofErr w:type="spellEnd"/>
      <w:r w:rsidR="003F0E81">
        <w:rPr>
          <w:lang w:bidi="en-US"/>
        </w:rPr>
        <w:t xml:space="preserve"> managementu Vysoké školy ekonomické v Praze a Katedrou produkce Divadelní fakulty Akademie múzických umění v Praze. </w:t>
      </w:r>
    </w:p>
    <w:p w14:paraId="2E3F5129" w14:textId="253F4B90" w:rsidR="00091FAD" w:rsidRPr="003F0E81" w:rsidRDefault="00C50089" w:rsidP="003F0E81">
      <w:pPr>
        <w:pStyle w:val="Nadpis1"/>
        <w:pBdr>
          <w:top w:val="single" w:sz="4" w:space="1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rPr>
          <w:rFonts w:ascii="Garamond" w:hAnsi="Garamond"/>
          <w:color w:val="FFFFFF" w:themeColor="background1"/>
          <w:lang w:val="cs-CZ"/>
        </w:rPr>
      </w:pPr>
      <w:r w:rsidRPr="003F0E81">
        <w:rPr>
          <w:rFonts w:ascii="Garamond" w:hAnsi="Garamond"/>
          <w:color w:val="FFFFFF" w:themeColor="background1"/>
          <w:lang w:val="cs-CZ"/>
        </w:rPr>
        <w:t>ÚVOD</w:t>
      </w:r>
    </w:p>
    <w:p w14:paraId="6F975D75" w14:textId="3A3AC5BB" w:rsidR="003F0E81" w:rsidRDefault="00091FAD" w:rsidP="003F0E81">
      <w:pPr>
        <w:pStyle w:val="Bezmezer"/>
      </w:pPr>
      <w:r w:rsidRPr="003F0E81">
        <w:t xml:space="preserve">Od března roku 2020 krize spojená s šířením </w:t>
      </w:r>
      <w:r w:rsidR="0095072B">
        <w:t>nemoci</w:t>
      </w:r>
      <w:r w:rsidRPr="003F0E81">
        <w:t xml:space="preserve"> covid-19 hluboce zasáhla společnost téměř na celém světě a uvrhla globální ekonomiku do hluboké recese. </w:t>
      </w:r>
      <w:r w:rsidR="0095072B">
        <w:t>Většina států</w:t>
      </w:r>
      <w:r w:rsidR="00AD5E25" w:rsidRPr="003F0E81">
        <w:t xml:space="preserve"> po celém </w:t>
      </w:r>
      <w:proofErr w:type="gramStart"/>
      <w:r w:rsidR="00AD5E25" w:rsidRPr="003F0E81">
        <w:t>světa</w:t>
      </w:r>
      <w:proofErr w:type="gramEnd"/>
      <w:r w:rsidR="00AD5E25" w:rsidRPr="003F0E81">
        <w:t xml:space="preserve"> zavedla mimořádn</w:t>
      </w:r>
      <w:r w:rsidR="003F0E81">
        <w:t>á</w:t>
      </w:r>
      <w:r w:rsidR="00AD5E25" w:rsidRPr="003F0E81">
        <w:t xml:space="preserve"> a radikální opatření ke zmírnění šíření </w:t>
      </w:r>
      <w:proofErr w:type="spellStart"/>
      <w:r w:rsidR="00AD5E25" w:rsidRPr="003F0E81">
        <w:t>koronaviru</w:t>
      </w:r>
      <w:proofErr w:type="spellEnd"/>
      <w:r w:rsidR="00AD5E25" w:rsidRPr="003F0E81">
        <w:t xml:space="preserve">, která vedla mimo jiné k uzavření většiny kulturních organizací a míst </w:t>
      </w:r>
      <w:r w:rsidR="0095072B">
        <w:t>pro veřejnost</w:t>
      </w:r>
      <w:r w:rsidR="00AD5E25" w:rsidRPr="003F0E81">
        <w:t xml:space="preserve">. </w:t>
      </w:r>
      <w:r w:rsidR="0095072B">
        <w:t>Kulturní</w:t>
      </w:r>
      <w:r w:rsidR="003F0E81">
        <w:t xml:space="preserve"> </w:t>
      </w:r>
      <w:r w:rsidR="0095072B">
        <w:t>organizace</w:t>
      </w:r>
      <w:r w:rsidR="003F0E81">
        <w:t xml:space="preserve"> </w:t>
      </w:r>
      <w:r w:rsidR="0095072B">
        <w:t>tak musely</w:t>
      </w:r>
      <w:r w:rsidR="00AD5E25" w:rsidRPr="003F0E81">
        <w:t xml:space="preserve"> a stále musí</w:t>
      </w:r>
      <w:r w:rsidRPr="003F0E81">
        <w:t xml:space="preserve"> čelit zásadním výz</w:t>
      </w:r>
      <w:r w:rsidR="0095072B">
        <w:t>vám, jak udržet kontakt se svou</w:t>
      </w:r>
      <w:r w:rsidRPr="003F0E81">
        <w:t xml:space="preserve"> komunitou, ale také významným ekonomickým dopadům této krize. Kulturní sektor je </w:t>
      </w:r>
      <w:r w:rsidR="0095072B">
        <w:t>dnes jednou</w:t>
      </w:r>
      <w:r w:rsidRPr="003F0E81">
        <w:t xml:space="preserve"> z nejpostiženějších oblastí této </w:t>
      </w:r>
      <w:r w:rsidR="0095072B">
        <w:t>situace</w:t>
      </w:r>
      <w:r w:rsidRPr="003F0E81">
        <w:t xml:space="preserve">. </w:t>
      </w:r>
    </w:p>
    <w:p w14:paraId="552A04B1" w14:textId="77777777" w:rsidR="003F0E81" w:rsidRDefault="00C105F5" w:rsidP="003F0E81">
      <w:pPr>
        <w:pStyle w:val="Bezmezer"/>
      </w:pPr>
      <w:r w:rsidRPr="003F0E81">
        <w:t xml:space="preserve">Díky omezení pohybu </w:t>
      </w:r>
      <w:r w:rsidR="00832872" w:rsidRPr="003F0E81">
        <w:t>m</w:t>
      </w:r>
      <w:r w:rsidRPr="003F0E81">
        <w:t xml:space="preserve">ezi jednotlivými zeměmi a v některých případech i mezi regiony v rámci jedné země došlo k výraznému poklesu turismu, což zasáhlo společnost jak ekonomicky, tak sociálně. Tato krize uvrhla umělce, kulturní profesionály a kulturní organizace do stavu ekonomické a sociální zranitelnosti. </w:t>
      </w:r>
    </w:p>
    <w:p w14:paraId="67C7029B" w14:textId="0D7E7919" w:rsidR="003F0E81" w:rsidRDefault="007B6604" w:rsidP="003F0E81">
      <w:pPr>
        <w:pStyle w:val="Bezmezer"/>
      </w:pPr>
      <w:r w:rsidRPr="003F0E81">
        <w:t xml:space="preserve">Diskuze kolem </w:t>
      </w:r>
      <w:proofErr w:type="spellStart"/>
      <w:r w:rsidRPr="003F0E81">
        <w:t>koronavirové</w:t>
      </w:r>
      <w:proofErr w:type="spellEnd"/>
      <w:r w:rsidRPr="003F0E81">
        <w:t xml:space="preserve"> pandemie a jejího dopadu na kulturní sektor </w:t>
      </w:r>
      <w:r w:rsidR="0095072B">
        <w:t>ukázala</w:t>
      </w:r>
      <w:r w:rsidRPr="003F0E81">
        <w:t xml:space="preserve">, že </w:t>
      </w:r>
      <w:r w:rsidR="0095072B">
        <w:t>zde existují dlouhodobé</w:t>
      </w:r>
      <w:r w:rsidRPr="003F0E81">
        <w:t xml:space="preserve"> systematické nedostatky </w:t>
      </w:r>
      <w:r w:rsidR="0095072B">
        <w:t>jak ve financování, tak v</w:t>
      </w:r>
      <w:r w:rsidRPr="003F0E81">
        <w:t xml:space="preserve"> řízení kultury. Řada odborníků tak zastává názor, že </w:t>
      </w:r>
      <w:r w:rsidR="00D02AC5">
        <w:t>by tato krize mohla být</w:t>
      </w:r>
      <w:r w:rsidRPr="003F0E81">
        <w:t xml:space="preserve"> příležitostí pro zlepšení a systematické změny. </w:t>
      </w:r>
    </w:p>
    <w:p w14:paraId="484DCF29" w14:textId="0FAEC0EC" w:rsidR="00832872" w:rsidRDefault="007B6604" w:rsidP="00244DF2">
      <w:pPr>
        <w:pStyle w:val="Bezmezer"/>
      </w:pPr>
      <w:r w:rsidRPr="003F0E81">
        <w:t xml:space="preserve">I přes překážky, které tato krize před kulturní organizace a umělce postavila, </w:t>
      </w:r>
      <w:r w:rsidR="0095072B">
        <w:t>řada</w:t>
      </w:r>
      <w:r w:rsidRPr="003F0E81">
        <w:t xml:space="preserve"> z nich </w:t>
      </w:r>
      <w:r w:rsidR="007F645F" w:rsidRPr="003F0E81">
        <w:t xml:space="preserve">téměř okamžitě vytvořila </w:t>
      </w:r>
      <w:r w:rsidR="0095072B">
        <w:t>celé spektrum aktivit</w:t>
      </w:r>
      <w:r w:rsidR="007F645F" w:rsidRPr="003F0E81">
        <w:t xml:space="preserve"> k t</w:t>
      </w:r>
      <w:r w:rsidR="0095072B">
        <w:t>omu, aby dále udržela kontakt se svými</w:t>
      </w:r>
      <w:r w:rsidR="007F645F" w:rsidRPr="003F0E81">
        <w:t xml:space="preserve"> komunitami a poskytla nový</w:t>
      </w:r>
      <w:r w:rsidR="0095072B">
        <w:t>, dosud netypický</w:t>
      </w:r>
      <w:r w:rsidR="007F645F" w:rsidRPr="003F0E81">
        <w:t xml:space="preserve"> přístup k umění a kultuře. Nicméně tyto inovativní přístupy</w:t>
      </w:r>
      <w:r w:rsidR="004D0F34" w:rsidRPr="003F0E81">
        <w:t xml:space="preserve"> zpravidla neřeší ekonomické </w:t>
      </w:r>
      <w:r w:rsidR="00D02AC5">
        <w:t>problém</w:t>
      </w:r>
      <w:r w:rsidR="004D0F34" w:rsidRPr="003F0E81">
        <w:t xml:space="preserve">y, kterým čelí umělci, kulturní profesionálové a kulturní organizace. </w:t>
      </w:r>
    </w:p>
    <w:p w14:paraId="00074253" w14:textId="1207D977" w:rsidR="00244DF2" w:rsidRPr="003F0E81" w:rsidRDefault="00244DF2" w:rsidP="00244DF2">
      <w:pPr>
        <w:pStyle w:val="Nadpis1"/>
        <w:pBdr>
          <w:top w:val="single" w:sz="4" w:space="1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rPr>
          <w:rFonts w:ascii="Garamond" w:hAnsi="Garamond"/>
          <w:color w:val="FFFFFF" w:themeColor="background1"/>
          <w:lang w:val="cs-CZ"/>
        </w:rPr>
      </w:pPr>
      <w:r>
        <w:rPr>
          <w:rFonts w:ascii="Garamond" w:hAnsi="Garamond"/>
          <w:color w:val="FFFFFF" w:themeColor="background1"/>
          <w:lang w:val="cs-CZ"/>
        </w:rPr>
        <w:t>VÝTVARNÉ UMĚNÍ V KRIZI</w:t>
      </w:r>
    </w:p>
    <w:p w14:paraId="75B117F6" w14:textId="29EA9606" w:rsidR="0020576B" w:rsidRDefault="00775FE1" w:rsidP="0020576B">
      <w:pPr>
        <w:pStyle w:val="Bezmezer"/>
      </w:pPr>
      <w:r w:rsidRPr="003F0E81">
        <w:t xml:space="preserve">V současné době je téměř nemožné </w:t>
      </w:r>
      <w:r w:rsidR="00D02AC5">
        <w:t>odhadnout</w:t>
      </w:r>
      <w:r w:rsidRPr="003F0E81">
        <w:t xml:space="preserve"> dlouhodobé dopady současné krize na subjekty v oblasti výtvarného umění, respektive celý kulturní sektor, vzhledem k tomu, že společnost právě čelí tzv. druhé vlně </w:t>
      </w:r>
      <w:r w:rsidR="00D02AC5">
        <w:t xml:space="preserve">pandemie s </w:t>
      </w:r>
      <w:r w:rsidRPr="003F0E81">
        <w:t>ne</w:t>
      </w:r>
      <w:r w:rsidR="00D02AC5">
        <w:t>jasn</w:t>
      </w:r>
      <w:r w:rsidRPr="003F0E81">
        <w:t>ým výhledem</w:t>
      </w:r>
      <w:r w:rsidR="006878F0">
        <w:t xml:space="preserve"> do budoucnosti</w:t>
      </w:r>
      <w:r w:rsidRPr="003F0E81">
        <w:t xml:space="preserve">. Při </w:t>
      </w:r>
      <w:r w:rsidRPr="003F0E81">
        <w:lastRenderedPageBreak/>
        <w:t>odhadu dopadů je ale možné použít paralelu krizích obdobných. Jednou z možností je podívat se na způsob, jak sektor umění a kultury ovlivnila globální finanční krize, která započala v roce 2008. Samozřejmě je nutné brát v potaz rozdíly těchto krizí. Dopady</w:t>
      </w:r>
      <w:r w:rsidR="00D76845" w:rsidRPr="003F0E81">
        <w:t xml:space="preserve"> finanční krize jsou méně viditelné a pomalejší, umělecké instituce nebyly nuceny zavřít své prostory</w:t>
      </w:r>
      <w:r w:rsidR="00D02AC5">
        <w:t>,</w:t>
      </w:r>
      <w:r w:rsidR="00D76845" w:rsidRPr="003F0E81">
        <w:t xml:space="preserve"> a </w:t>
      </w:r>
      <w:r w:rsidR="00D02AC5">
        <w:t>prakticky</w:t>
      </w:r>
      <w:r w:rsidR="00D76845" w:rsidRPr="003F0E81">
        <w:t xml:space="preserve"> tak přerušit kontakt se sv</w:t>
      </w:r>
      <w:r w:rsidR="00D02AC5">
        <w:t>ou</w:t>
      </w:r>
      <w:r w:rsidR="00D76845" w:rsidRPr="003F0E81">
        <w:t xml:space="preserve"> komunit</w:t>
      </w:r>
      <w:r w:rsidR="006878F0">
        <w:t>ou</w:t>
      </w:r>
      <w:r w:rsidR="00D76845" w:rsidRPr="003F0E81">
        <w:t xml:space="preserve">. Sociální a kulturní dopady způsobené krizí finanční a krizí </w:t>
      </w:r>
      <w:proofErr w:type="spellStart"/>
      <w:r w:rsidR="00D76845" w:rsidRPr="003F0E81">
        <w:t>koronavirovou</w:t>
      </w:r>
      <w:proofErr w:type="spellEnd"/>
      <w:r w:rsidR="00D76845" w:rsidRPr="003F0E81">
        <w:t xml:space="preserve"> jsou rozdílné. Silnější paralelu je však možné nalézt v oblasti dopadů ekonomických. Umělecké organizace subvencované z veřejných </w:t>
      </w:r>
      <w:r w:rsidR="00D02AC5">
        <w:t>zdrojů v posledních letech čelily</w:t>
      </w:r>
      <w:r w:rsidR="00D76845" w:rsidRPr="003F0E81">
        <w:t xml:space="preserve"> poklesu </w:t>
      </w:r>
      <w:r w:rsidR="0018522D" w:rsidRPr="003F0E81">
        <w:t>příspěvků od svých zřizovatelů</w:t>
      </w:r>
      <w:r w:rsidR="00D02AC5">
        <w:t>,</w:t>
      </w:r>
      <w:r w:rsidR="0018522D" w:rsidRPr="003F0E81">
        <w:t xml:space="preserve"> a s tím souvisejícím tla</w:t>
      </w:r>
      <w:r w:rsidR="00D02AC5">
        <w:t>kem</w:t>
      </w:r>
      <w:r w:rsidR="0018522D" w:rsidRPr="003F0E81">
        <w:t xml:space="preserve"> na rozvoj vícezdrojového financování a podnikatelských aktivit. Globální finanční krize však ovlivnila i privátní sektor, který omezil své výdaje na filantropické a </w:t>
      </w:r>
      <w:proofErr w:type="spellStart"/>
      <w:r w:rsidR="0018522D" w:rsidRPr="003F0E81">
        <w:t>sponzoringové</w:t>
      </w:r>
      <w:proofErr w:type="spellEnd"/>
      <w:r w:rsidR="0018522D" w:rsidRPr="003F0E81">
        <w:t xml:space="preserve"> aktivity. </w:t>
      </w:r>
      <w:r w:rsidR="002D27E3" w:rsidRPr="003F0E81">
        <w:t xml:space="preserve">V tomto smyslu lze v budoucnu očekávat podobnou reakci jak ze strany státního aparátu, tak ze strany privátního sektoru. </w:t>
      </w:r>
      <w:r w:rsidR="00292B0C" w:rsidRPr="003F0E81">
        <w:t xml:space="preserve">Navíc však muzea </w:t>
      </w:r>
      <w:r w:rsidR="00FD4E98">
        <w:t xml:space="preserve">a další organizace prezentující výtvarné umění </w:t>
      </w:r>
      <w:r w:rsidR="00292B0C" w:rsidRPr="003F0E81">
        <w:t>přicházejí o příjmy ze vstupného, z pronájmů a dalších aktivit. Privátní galerie byl</w:t>
      </w:r>
      <w:r w:rsidR="00FD4E98">
        <w:t>y</w:t>
      </w:r>
      <w:r w:rsidR="00292B0C" w:rsidRPr="003F0E81">
        <w:t xml:space="preserve"> nucen</w:t>
      </w:r>
      <w:r w:rsidR="00FD4E98">
        <w:t>y</w:t>
      </w:r>
      <w:r w:rsidR="00292B0C" w:rsidRPr="003F0E81">
        <w:t xml:space="preserve"> zrušit část výstavního programu</w:t>
      </w:r>
      <w:r w:rsidR="0020576B">
        <w:t>,</w:t>
      </w:r>
      <w:r w:rsidR="00292B0C" w:rsidRPr="003F0E81">
        <w:t xml:space="preserve"> a především došlo ke zrušení většiny veletrhů umění, které jsou naprosto zásadním hráčem na poli obchodu s uměním. </w:t>
      </w:r>
      <w:r w:rsidR="00DE5B4C" w:rsidRPr="003F0E81">
        <w:t>V některých případech tvoří příjmy z prodejů na veletrzích umění 30–40 %</w:t>
      </w:r>
      <w:r w:rsidR="00FD4E98">
        <w:rPr>
          <w:rStyle w:val="Znakapoznpodarou"/>
        </w:rPr>
        <w:footnoteReference w:id="1"/>
      </w:r>
      <w:r w:rsidR="00DE5B4C" w:rsidRPr="003F0E81">
        <w:t xml:space="preserve"> celkových příjmů galerie. </w:t>
      </w:r>
    </w:p>
    <w:p w14:paraId="03CD92D0" w14:textId="5931EA16" w:rsidR="00DA2AA2" w:rsidRDefault="007C4805" w:rsidP="00DA2AA2">
      <w:pPr>
        <w:pStyle w:val="Bezmezer"/>
      </w:pPr>
      <w:r w:rsidRPr="003F0E81">
        <w:t xml:space="preserve">Ačkoliv stále většina </w:t>
      </w:r>
      <w:r w:rsidR="00D02AC5">
        <w:t>aktérů</w:t>
      </w:r>
      <w:r w:rsidRPr="003F0E81">
        <w:t xml:space="preserve"> v umělecké oblasti neví</w:t>
      </w:r>
      <w:r w:rsidR="00F32E99" w:rsidRPr="003F0E81">
        <w:t>,</w:t>
      </w:r>
      <w:r w:rsidRPr="003F0E81">
        <w:t xml:space="preserve"> jaké změny přinese krize v budoucnu, </w:t>
      </w:r>
      <w:r w:rsidR="00D02AC5" w:rsidRPr="003F0E81">
        <w:t>lze</w:t>
      </w:r>
      <w:r w:rsidR="00D02AC5" w:rsidRPr="003F0E81">
        <w:t xml:space="preserve"> </w:t>
      </w:r>
      <w:r w:rsidR="00D02AC5">
        <w:t xml:space="preserve">tuto </w:t>
      </w:r>
      <w:r w:rsidRPr="003F0E81">
        <w:t>kriz</w:t>
      </w:r>
      <w:r w:rsidR="00DA2AA2">
        <w:t>i</w:t>
      </w:r>
      <w:r w:rsidRPr="003F0E81">
        <w:t xml:space="preserve"> vnímat i jako příležitost pro inovace. </w:t>
      </w:r>
      <w:r w:rsidR="00D02AC5">
        <w:t>M</w:t>
      </w:r>
      <w:r w:rsidRPr="003F0E81">
        <w:t xml:space="preserve">ohla </w:t>
      </w:r>
      <w:r w:rsidR="00D02AC5">
        <w:t xml:space="preserve">by tak </w:t>
      </w:r>
      <w:r w:rsidRPr="003F0E81">
        <w:t xml:space="preserve">být </w:t>
      </w:r>
      <w:r w:rsidR="00F32E99" w:rsidRPr="003F0E81">
        <w:t xml:space="preserve">příležitostí </w:t>
      </w:r>
      <w:r w:rsidR="00D02AC5">
        <w:t>ke</w:t>
      </w:r>
      <w:r w:rsidR="00F32E99" w:rsidRPr="003F0E81">
        <w:t xml:space="preserve"> strukturní</w:t>
      </w:r>
      <w:r w:rsidR="00D02AC5">
        <w:t>m změnám</w:t>
      </w:r>
      <w:r w:rsidR="00F32E99" w:rsidRPr="003F0E81">
        <w:t xml:space="preserve"> uměleckého sektoru jak na úrovní politiky, tak na organizační úrovni</w:t>
      </w:r>
      <w:r w:rsidR="00DA2AA2">
        <w:t>.</w:t>
      </w:r>
      <w:r w:rsidR="00DA2AA2">
        <w:rPr>
          <w:rStyle w:val="Znakapoznpodarou"/>
        </w:rPr>
        <w:footnoteReference w:id="2"/>
      </w:r>
      <w:r w:rsidR="00746CC8" w:rsidRPr="003F0E81">
        <w:t xml:space="preserve"> </w:t>
      </w:r>
    </w:p>
    <w:p w14:paraId="60C6AE49" w14:textId="7CFFF5D5" w:rsidR="00DA2AA2" w:rsidRDefault="005B2914" w:rsidP="00DA2AA2">
      <w:pPr>
        <w:pStyle w:val="Bezmezer"/>
      </w:pPr>
      <w:r w:rsidRPr="003F0E81">
        <w:t xml:space="preserve">Některé velmi specifické ekonomické charakteristiky odvětví kulturní a umělecké produkce do určité míry vysvětlují </w:t>
      </w:r>
      <w:r w:rsidR="00D02AC5">
        <w:t>specifické</w:t>
      </w:r>
      <w:r w:rsidR="00DA2AA2">
        <w:t xml:space="preserve"> </w:t>
      </w:r>
      <w:r w:rsidRPr="003F0E81">
        <w:t>příležitosti, hrozby a obtíže, jimž</w:t>
      </w:r>
      <w:r w:rsidR="00DA2AA2">
        <w:t xml:space="preserve"> tento sektor</w:t>
      </w:r>
      <w:r w:rsidRPr="003F0E81">
        <w:t xml:space="preserve"> čelí v souvislosti s hospodářskými krizemi. Jedná se o rizikový sektor prototypových produktů, většinou s vysokou, ale subjektivní symbolickou hodnotou.</w:t>
      </w:r>
      <w:r w:rsidR="00DA2AA2">
        <w:rPr>
          <w:rStyle w:val="Znakapoznpodarou"/>
        </w:rPr>
        <w:footnoteReference w:id="3"/>
      </w:r>
      <w:r w:rsidRPr="003F0E81">
        <w:t xml:space="preserve"> Toto odvětví zároveň prochází obrovskou transformací svých obchodních modelů v důsledku dopadu technologií digitální komunikace.</w:t>
      </w:r>
      <w:r w:rsidR="00DA2AA2">
        <w:rPr>
          <w:rStyle w:val="Znakapoznpodarou"/>
        </w:rPr>
        <w:footnoteReference w:id="4"/>
      </w:r>
      <w:r w:rsidRPr="003F0E81">
        <w:t xml:space="preserve"> Velká část kulturních iniciativ a aktivit přežívá díky velkorysé podpoře veřejného financování (a v některých případech i dalších filantropických příspěvků</w:t>
      </w:r>
      <w:r w:rsidR="009D27C6" w:rsidRPr="003F0E81">
        <w:t>)</w:t>
      </w:r>
      <w:r w:rsidRPr="003F0E81">
        <w:t xml:space="preserve">. Zásadní </w:t>
      </w:r>
      <w:r w:rsidRPr="003F0E81">
        <w:lastRenderedPageBreak/>
        <w:t>význam vládních politik</w:t>
      </w:r>
      <w:r w:rsidR="00DA2AA2">
        <w:t xml:space="preserve"> </w:t>
      </w:r>
      <w:r w:rsidRPr="003F0E81">
        <w:t xml:space="preserve">by mohl vysvětlit, proč transformace sociálního státu a nové </w:t>
      </w:r>
      <w:proofErr w:type="spellStart"/>
      <w:r w:rsidRPr="003F0E81">
        <w:t>socio</w:t>
      </w:r>
      <w:proofErr w:type="spellEnd"/>
      <w:r w:rsidR="00D02AC5">
        <w:t>-</w:t>
      </w:r>
      <w:r w:rsidRPr="003F0E81">
        <w:t xml:space="preserve">ekonomické trendy ovlivňují zejména </w:t>
      </w:r>
      <w:r w:rsidR="009D27C6" w:rsidRPr="003F0E81">
        <w:t xml:space="preserve">umělecký a kulturní sektor. </w:t>
      </w:r>
    </w:p>
    <w:p w14:paraId="7615A2F5" w14:textId="7C118E00" w:rsidR="00DA2AA2" w:rsidRDefault="005D7251" w:rsidP="00DA2AA2">
      <w:pPr>
        <w:pStyle w:val="Bezmezer"/>
      </w:pPr>
      <w:r w:rsidRPr="003F0E81">
        <w:t>Stát</w:t>
      </w:r>
      <w:r w:rsidR="003F1B83" w:rsidRPr="003F0E81">
        <w:t>, především v evropském prostředí, hraje tedy zásadní roli v oblasti kultury a umění především díky přímým, ale také nepřímým</w:t>
      </w:r>
      <w:r w:rsidR="00D02AC5">
        <w:t xml:space="preserve"> dotacím. Právě v období krizí se pak ale pochopitelně od státu očekáv</w:t>
      </w:r>
      <w:r w:rsidR="003F1B83" w:rsidRPr="003F0E81">
        <w:t>á podpora a pomoc. Nejen pro záchranu subjektů v oblasti kultury, ale také pro stimulaci ekonomiky řada států zvyšuje státní výdaje. Tyto intervence mají však zpravidla krátkodobý efekt</w:t>
      </w:r>
      <w:r w:rsidR="00DA2AA2">
        <w:rPr>
          <w:rStyle w:val="Znakapoznpodarou"/>
        </w:rPr>
        <w:footnoteReference w:id="5"/>
      </w:r>
      <w:r w:rsidR="003F1B83" w:rsidRPr="003F0E81">
        <w:t xml:space="preserve">, </w:t>
      </w:r>
      <w:r w:rsidR="00D02AC5">
        <w:t xml:space="preserve">i když </w:t>
      </w:r>
      <w:r w:rsidR="003F1B83" w:rsidRPr="003F0E81">
        <w:t xml:space="preserve">samozřejmě </w:t>
      </w:r>
      <w:r w:rsidR="00D02AC5">
        <w:t xml:space="preserve">dnes, </w:t>
      </w:r>
      <w:r w:rsidR="003F1B83" w:rsidRPr="003F0E81">
        <w:t xml:space="preserve">v období </w:t>
      </w:r>
      <w:proofErr w:type="spellStart"/>
      <w:r w:rsidR="003F1B83" w:rsidRPr="003F0E81">
        <w:t>koronavirové</w:t>
      </w:r>
      <w:proofErr w:type="spellEnd"/>
      <w:r w:rsidR="003F1B83" w:rsidRPr="003F0E81">
        <w:t xml:space="preserve"> krize</w:t>
      </w:r>
      <w:r w:rsidR="00D02AC5">
        <w:t>,</w:t>
      </w:r>
      <w:r w:rsidR="003F1B83" w:rsidRPr="003F0E81">
        <w:t xml:space="preserve"> naprosto zásadní pro přežití </w:t>
      </w:r>
      <w:r w:rsidR="00D02AC5">
        <w:t>většiny</w:t>
      </w:r>
      <w:r w:rsidR="003F1B83" w:rsidRPr="003F0E81">
        <w:t xml:space="preserve"> aktérů v kulturním sektoru. </w:t>
      </w:r>
    </w:p>
    <w:p w14:paraId="4240B855" w14:textId="1E25215A" w:rsidR="00DA2AA2" w:rsidRDefault="00D36EDD" w:rsidP="00DA2AA2">
      <w:pPr>
        <w:pStyle w:val="Bezmezer"/>
      </w:pPr>
      <w:r w:rsidRPr="003F0E81">
        <w:t>V případě finanč</w:t>
      </w:r>
      <w:r w:rsidR="0053701F">
        <w:t>ní krize</w:t>
      </w:r>
      <w:r w:rsidRPr="003F0E81">
        <w:t xml:space="preserve"> většina evropských zemí zaznamenala pokles daňových příjmů a zároveň zvýšení nákladů sociálního státu, což vedlo k relevantnímu zvýšení deficitů </w:t>
      </w:r>
      <w:r w:rsidR="0053701F">
        <w:t>stát</w:t>
      </w:r>
      <w:r w:rsidRPr="003F0E81">
        <w:t xml:space="preserve">ních rozpočtů. </w:t>
      </w:r>
      <w:r w:rsidR="00D07E83" w:rsidRPr="003F0E81">
        <w:t>Většina zemí tak následně zahájila proces revize státních výdajů s cílem vyvážení deficitu. To vedlo k příslušným škrtům ve vládních investicích, které zahrnují i subvence do kultury a umění</w:t>
      </w:r>
      <w:r w:rsidR="00DA2AA2">
        <w:t>.</w:t>
      </w:r>
      <w:r w:rsidR="00DA2AA2">
        <w:rPr>
          <w:rStyle w:val="Znakapoznpodarou"/>
        </w:rPr>
        <w:footnoteReference w:id="6"/>
      </w:r>
      <w:r w:rsidR="00B47B9E" w:rsidRPr="003F0E81">
        <w:t xml:space="preserve"> </w:t>
      </w:r>
      <w:r w:rsidR="00EB7C08" w:rsidRPr="003F0E81">
        <w:t xml:space="preserve">Bohužel mimo snížení především přímých dotací do kulturního sektoru nedošlo v evropském prostoru k zásadnímu změnám kulturních politik a infastruktury. </w:t>
      </w:r>
      <w:r w:rsidR="00B47B9E" w:rsidRPr="003F0E81">
        <w:t xml:space="preserve">Vzhledem k téměř bezprecedentnímu deficitu státního rozpočtu způsobený současnou </w:t>
      </w:r>
      <w:proofErr w:type="spellStart"/>
      <w:r w:rsidR="00B47B9E" w:rsidRPr="003F0E81">
        <w:t>koronavirou</w:t>
      </w:r>
      <w:proofErr w:type="spellEnd"/>
      <w:r w:rsidR="00B47B9E" w:rsidRPr="003F0E81">
        <w:t xml:space="preserve"> pandemií lze očekávat v budoucnu ještě větší </w:t>
      </w:r>
      <w:r w:rsidR="0053701F">
        <w:t>úsporná opatření</w:t>
      </w:r>
      <w:r w:rsidR="00B47B9E" w:rsidRPr="003F0E81">
        <w:t xml:space="preserve"> </w:t>
      </w:r>
      <w:r w:rsidR="0053701F">
        <w:t>ve státních výdajích, které budou mít pochopitelně dopad především do oblasti kultury.</w:t>
      </w:r>
      <w:r w:rsidR="00B47B9E" w:rsidRPr="003F0E81">
        <w:t xml:space="preserve"> </w:t>
      </w:r>
    </w:p>
    <w:p w14:paraId="0CFD71D0" w14:textId="0CB6F89D" w:rsidR="002E713D" w:rsidRPr="003F0E81" w:rsidRDefault="002E713D" w:rsidP="00DA2AA2">
      <w:pPr>
        <w:pStyle w:val="Bezmezer"/>
      </w:pPr>
      <w:r w:rsidRPr="003F0E81">
        <w:t xml:space="preserve">Snížení státních výdajů </w:t>
      </w:r>
      <w:r w:rsidR="0053701F">
        <w:t xml:space="preserve">tak </w:t>
      </w:r>
      <w:r w:rsidRPr="003F0E81">
        <w:t>může mít přirozeně za následek redukci umělecké produkce a aktivit</w:t>
      </w:r>
      <w:r w:rsidR="0053701F">
        <w:t xml:space="preserve"> a nepřímo také snížení spotřeby</w:t>
      </w:r>
      <w:r w:rsidRPr="003F0E81">
        <w:t xml:space="preserve"> kultury a umění. Pokud použijeme opět paralelu </w:t>
      </w:r>
      <w:r w:rsidR="0053701F">
        <w:t>s finanční krizí</w:t>
      </w:r>
      <w:r w:rsidRPr="003F0E81">
        <w:t xml:space="preserve">, </w:t>
      </w:r>
      <w:r w:rsidR="0053701F">
        <w:t>aktéři v oblasti umění reagovali</w:t>
      </w:r>
      <w:r w:rsidRPr="003F0E81">
        <w:t xml:space="preserve"> na tuto krizi především dvě</w:t>
      </w:r>
      <w:r w:rsidR="0053701F">
        <w:t>ma</w:t>
      </w:r>
      <w:r w:rsidRPr="003F0E81">
        <w:t xml:space="preserve"> hlavními trendy: </w:t>
      </w:r>
    </w:p>
    <w:p w14:paraId="0CBBB20B" w14:textId="1B43A1A3" w:rsidR="002E713D" w:rsidRPr="003F0E81" w:rsidRDefault="002E713D" w:rsidP="00EB4CCF">
      <w:pPr>
        <w:pStyle w:val="Bezmezer"/>
        <w:numPr>
          <w:ilvl w:val="0"/>
          <w:numId w:val="1"/>
        </w:numPr>
      </w:pPr>
      <w:r w:rsidRPr="003F0E81">
        <w:t>Vyšší používání marketingových nástrojů a strategií často „vypůjčených“ z komerčního sektoru a tvorba pro publikum atraktivnější</w:t>
      </w:r>
      <w:r w:rsidR="0053701F">
        <w:t>ho programu k navýšení příjmů ze vstupného</w:t>
      </w:r>
      <w:r w:rsidRPr="003F0E81">
        <w:t xml:space="preserve">. </w:t>
      </w:r>
    </w:p>
    <w:p w14:paraId="43BD9FAA" w14:textId="0E41DC98" w:rsidR="00664067" w:rsidRDefault="00175DB7" w:rsidP="00664067">
      <w:pPr>
        <w:pStyle w:val="Bezmezer"/>
        <w:numPr>
          <w:ilvl w:val="0"/>
          <w:numId w:val="1"/>
        </w:numPr>
      </w:pPr>
      <w:r w:rsidRPr="003F0E81">
        <w:t xml:space="preserve">Zvýšená snaha navázat </w:t>
      </w:r>
      <w:r w:rsidR="0053701F">
        <w:t>kontakty ke zvýšení</w:t>
      </w:r>
      <w:r w:rsidRPr="003F0E81">
        <w:t xml:space="preserve"> filantropických příjmů a příjmů ze </w:t>
      </w:r>
      <w:proofErr w:type="spellStart"/>
      <w:r w:rsidRPr="003F0E81">
        <w:t>spozoringu</w:t>
      </w:r>
      <w:proofErr w:type="spellEnd"/>
      <w:r w:rsidRPr="003F0E81">
        <w:t xml:space="preserve">. </w:t>
      </w:r>
    </w:p>
    <w:p w14:paraId="3F3D71C0" w14:textId="101D10D4" w:rsidR="00664067" w:rsidRDefault="00AF77DC" w:rsidP="00664067">
      <w:pPr>
        <w:pStyle w:val="Bezmezer"/>
      </w:pPr>
      <w:r w:rsidRPr="00664067">
        <w:t>Tyto strategie vzhledem ke krizi současné pravděpodobn</w:t>
      </w:r>
      <w:r w:rsidR="0053701F">
        <w:t xml:space="preserve">ě nebudou dostačující, a jak se dá předpokládat, </w:t>
      </w:r>
      <w:r w:rsidRPr="00664067">
        <w:t>bude</w:t>
      </w:r>
      <w:r w:rsidR="0053701F">
        <w:t>-li</w:t>
      </w:r>
      <w:r w:rsidRPr="00664067">
        <w:t xml:space="preserve"> společnost snižovat výdaje na kulturu z důvodů nedostatečných </w:t>
      </w:r>
      <w:r w:rsidRPr="00664067">
        <w:lastRenderedPageBreak/>
        <w:t xml:space="preserve">příjmů a úsporného chování, sníží se </w:t>
      </w:r>
      <w:r w:rsidR="00664067">
        <w:t>„</w:t>
      </w:r>
      <w:r w:rsidRPr="00664067">
        <w:t>konzumace</w:t>
      </w:r>
      <w:r w:rsidR="00664067">
        <w:t>“</w:t>
      </w:r>
      <w:r w:rsidRPr="00664067">
        <w:t xml:space="preserve"> </w:t>
      </w:r>
      <w:r w:rsidR="00664067">
        <w:t xml:space="preserve">statků umělecké povahy </w:t>
      </w:r>
      <w:r w:rsidRPr="00664067">
        <w:t xml:space="preserve">a ani marketingové nástroje nemusí tuto </w:t>
      </w:r>
      <w:r w:rsidR="00664067">
        <w:t>„</w:t>
      </w:r>
      <w:r w:rsidRPr="00664067">
        <w:t>konzumaci</w:t>
      </w:r>
      <w:r w:rsidR="00664067">
        <w:t>“</w:t>
      </w:r>
      <w:r w:rsidRPr="00664067">
        <w:t xml:space="preserve"> dostatečně stimulovat. </w:t>
      </w:r>
    </w:p>
    <w:p w14:paraId="4F89F23E" w14:textId="10ED2154" w:rsidR="00697B72" w:rsidRDefault="0053701F" w:rsidP="00697B72">
      <w:pPr>
        <w:pStyle w:val="Bezmezer"/>
      </w:pPr>
      <w:r>
        <w:t>S</w:t>
      </w:r>
      <w:r w:rsidR="00A13C75" w:rsidRPr="003F0E81">
        <w:t xml:space="preserve">trategie rozvoje partnerství s privátním sektorem bude pro </w:t>
      </w:r>
      <w:r>
        <w:t>aktéry</w:t>
      </w:r>
      <w:r w:rsidR="00A13C75" w:rsidRPr="003F0E81">
        <w:t xml:space="preserve"> v oblasti neziskového kultu</w:t>
      </w:r>
      <w:r>
        <w:t>rního sektoru ještě více náročná</w:t>
      </w:r>
      <w:r w:rsidR="00A13C75" w:rsidRPr="003F0E81">
        <w:t xml:space="preserve"> než kdykoliv předtím, lze totiž očekávat, že do úsporného režimu nastoupí nejen domácnosti, ale také soukromé firmy</w:t>
      </w:r>
      <w:r>
        <w:t>,</w:t>
      </w:r>
      <w:r w:rsidR="00697B72">
        <w:t xml:space="preserve"> a omezí tak své filantropické a marketingové aktivity</w:t>
      </w:r>
      <w:r w:rsidR="00A13C75" w:rsidRPr="003F0E81">
        <w:t xml:space="preserve">. </w:t>
      </w:r>
    </w:p>
    <w:p w14:paraId="5AC12746" w14:textId="74244C15" w:rsidR="005F6268" w:rsidRDefault="005F6268" w:rsidP="00697B72">
      <w:pPr>
        <w:pStyle w:val="Bezmezer"/>
      </w:pPr>
      <w:r w:rsidRPr="003F0E81">
        <w:t xml:space="preserve">Budování robustních obchodních modelů bude tím pádem také náročnější, jelikož se hráči v oblasti umění snažit dělat vše proto, aby vůbec přežili. </w:t>
      </w:r>
    </w:p>
    <w:p w14:paraId="329A7345" w14:textId="44467A1A" w:rsidR="00697B72" w:rsidRPr="003F0E81" w:rsidRDefault="00697B72" w:rsidP="00697B72">
      <w:pPr>
        <w:pStyle w:val="Nadpis1"/>
        <w:pBdr>
          <w:top w:val="single" w:sz="4" w:space="1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rPr>
          <w:rFonts w:ascii="Garamond" w:hAnsi="Garamond"/>
          <w:color w:val="FFFFFF" w:themeColor="background1"/>
          <w:lang w:val="cs-CZ"/>
        </w:rPr>
      </w:pPr>
      <w:r>
        <w:rPr>
          <w:rFonts w:ascii="Garamond" w:hAnsi="Garamond"/>
          <w:color w:val="FFFFFF" w:themeColor="background1"/>
          <w:lang w:val="cs-CZ"/>
        </w:rPr>
        <w:t>VÝZKUM</w:t>
      </w:r>
    </w:p>
    <w:p w14:paraId="20CA55C8" w14:textId="3DF85C5A" w:rsidR="00C86C3F" w:rsidRDefault="00AD5E25" w:rsidP="00697B72">
      <w:pPr>
        <w:pStyle w:val="Bezmezer"/>
      </w:pPr>
      <w:r w:rsidRPr="003F0E81">
        <w:t xml:space="preserve">Na nastalou situaci </w:t>
      </w:r>
      <w:r w:rsidR="00955203">
        <w:t>spojenou s </w:t>
      </w:r>
      <w:proofErr w:type="spellStart"/>
      <w:r w:rsidR="00955203">
        <w:t>koronavirovou</w:t>
      </w:r>
      <w:proofErr w:type="spellEnd"/>
      <w:r w:rsidR="00955203">
        <w:t xml:space="preserve"> krizí </w:t>
      </w:r>
      <w:r w:rsidRPr="003F0E81">
        <w:t xml:space="preserve">reagoval rozsáhlý projekt zkoumající oblast scénického a výtvarného umění (zahrnující také muzea a galerie), který je realizován dvěma akademickými pracovišti, Katedrou produkce DAMU a Katedrou </w:t>
      </w:r>
      <w:proofErr w:type="spellStart"/>
      <w:r w:rsidRPr="003F0E81">
        <w:t>arts</w:t>
      </w:r>
      <w:proofErr w:type="spellEnd"/>
      <w:r w:rsidRPr="003F0E81">
        <w:t xml:space="preserve"> managementu VŠE, a Institutem umění – Divadelním ústavem. Primárním cílem tohoto šetření je zjistit míru ekonomického dopadu nejen na organizace, ale také na jednotlivce působící v kulturních a kreativních odvětvích. V rekordně krátkém čase byl průzkum připraven a připomínkován řadou relevantních oborových institucí a profesionálních sdružení. Sběr dat probíhá prostřednictvím dotazník</w:t>
      </w:r>
      <w:r w:rsidR="0053701F">
        <w:t>ů</w:t>
      </w:r>
      <w:r w:rsidRPr="003F0E81">
        <w:t xml:space="preserve"> opakovaně, v měsíčních intervalech, aby bylo možné zmapovat průběh krize, ale i následnou stabilizaci kulturního sektoru.</w:t>
      </w:r>
      <w:r w:rsidR="007923DB" w:rsidRPr="003F0E81">
        <w:t xml:space="preserve"> Tato zpráva představuje výsledky pro oblast výtvarného umění</w:t>
      </w:r>
      <w:r w:rsidR="00955203">
        <w:t>.</w:t>
      </w:r>
    </w:p>
    <w:p w14:paraId="7A2D0B68" w14:textId="6F213A9D" w:rsidR="00955203" w:rsidRPr="003F0E81" w:rsidRDefault="00955203" w:rsidP="00955203">
      <w:pPr>
        <w:pStyle w:val="Nadpis1"/>
        <w:pBdr>
          <w:top w:val="single" w:sz="4" w:space="1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rPr>
          <w:rFonts w:ascii="Garamond" w:hAnsi="Garamond"/>
          <w:color w:val="FFFFFF" w:themeColor="background1"/>
          <w:lang w:val="cs-CZ"/>
        </w:rPr>
      </w:pPr>
      <w:r>
        <w:rPr>
          <w:rFonts w:ascii="Garamond" w:hAnsi="Garamond"/>
          <w:color w:val="FFFFFF" w:themeColor="background1"/>
          <w:lang w:val="cs-CZ"/>
        </w:rPr>
        <w:t>METODOLOGIE A SBĚR DAT</w:t>
      </w:r>
    </w:p>
    <w:p w14:paraId="46D46460" w14:textId="77777777" w:rsidR="00955203" w:rsidRDefault="00AD5E25" w:rsidP="00955203">
      <w:pPr>
        <w:pStyle w:val="Bezmezer"/>
      </w:pPr>
      <w:r w:rsidRPr="003F0E81">
        <w:t>Za oblast výtvarného umění</w:t>
      </w:r>
      <w:r w:rsidR="00955203">
        <w:t xml:space="preserve"> byl </w:t>
      </w:r>
      <w:r w:rsidRPr="003F0E81">
        <w:t>výzkum prováděn mezi dvěma druhy subjektů</w:t>
      </w:r>
      <w:r w:rsidR="00955203">
        <w:t xml:space="preserve">: </w:t>
      </w:r>
      <w:r w:rsidRPr="003F0E81">
        <w:t xml:space="preserve">komerční galerie, jejichž cílem je tvorba zisku prostřednictvím prodeje uměleckých děl, a neziskové subjekty prezentující umění, včetně muzeí. </w:t>
      </w:r>
    </w:p>
    <w:p w14:paraId="1E6849D9" w14:textId="7885618D" w:rsidR="00955203" w:rsidRDefault="00AD5E25" w:rsidP="00955203">
      <w:pPr>
        <w:pStyle w:val="Bezmezer"/>
      </w:pPr>
      <w:r w:rsidRPr="003F0E81">
        <w:t>Dotazníky se liší zejména v oblasti ekonomických ukazatelů. První fáze shromažďovala údaje jak za březen 2020, tak za rok 2019. Důvodem shromažďování informací i za předchozí období byla především snaha porovnat výsledky od března</w:t>
      </w:r>
      <w:r w:rsidR="0053701F">
        <w:t xml:space="preserve"> 2020</w:t>
      </w:r>
      <w:r w:rsidRPr="003F0E81">
        <w:t xml:space="preserve"> s průměrnými daty z roku 2019. </w:t>
      </w:r>
      <w:r w:rsidR="00F53217" w:rsidRPr="003F0E81">
        <w:t xml:space="preserve">Data pro oblast neziskových institucí a komerčních galerií jsou prezentována odděleně. </w:t>
      </w:r>
    </w:p>
    <w:p w14:paraId="23B989D5" w14:textId="7DDF7974" w:rsidR="00955203" w:rsidRDefault="00AD5E25" w:rsidP="00955203">
      <w:pPr>
        <w:pStyle w:val="Bezmezer"/>
        <w:keepNext/>
      </w:pPr>
      <w:r w:rsidRPr="003F0E81">
        <w:t>V prvním kole vyplnilo formulář 7</w:t>
      </w:r>
      <w:r w:rsidR="00955203">
        <w:t>4 subjektů</w:t>
      </w:r>
      <w:r w:rsidRPr="003F0E81">
        <w:t xml:space="preserve">, což není mnoho, ale přesto to představuje určitý vzorek. Kvůli zjištění ekonomických dopadů pandemie na </w:t>
      </w:r>
      <w:r w:rsidR="00955203">
        <w:t xml:space="preserve">subjekty v oblasti </w:t>
      </w:r>
      <w:r w:rsidR="00955203">
        <w:lastRenderedPageBreak/>
        <w:t xml:space="preserve">výtvarného umění </w:t>
      </w:r>
      <w:r w:rsidRPr="003F0E81">
        <w:t xml:space="preserve">byl vytvořen koeficient pro dopočet na celek. </w:t>
      </w:r>
      <w:r w:rsidR="00955203" w:rsidRPr="00955203">
        <w:t>Pro identifikaci sektorových dat byla p</w:t>
      </w:r>
      <w:r w:rsidR="00C07253">
        <w:t xml:space="preserve">oužita data z publikace </w:t>
      </w:r>
      <w:r w:rsidR="00C07253" w:rsidRPr="00C07253">
        <w:rPr>
          <w:i/>
        </w:rPr>
        <w:t>Výsledky</w:t>
      </w:r>
      <w:r w:rsidR="00955203" w:rsidRPr="00C07253">
        <w:rPr>
          <w:i/>
        </w:rPr>
        <w:t xml:space="preserve"> účtu kultury za rok 2018</w:t>
      </w:r>
      <w:r w:rsidR="00C07253">
        <w:t xml:space="preserve"> vydané</w:t>
      </w:r>
      <w:r w:rsidR="00955203" w:rsidRPr="00955203">
        <w:t xml:space="preserve"> v roce 2020 Českým statistickým úřadem a Národním informačním a poradenským střediskem pro kulturu. </w:t>
      </w:r>
    </w:p>
    <w:p w14:paraId="1FE97158" w14:textId="5A904E85" w:rsidR="00955203" w:rsidRPr="00955203" w:rsidRDefault="00955203" w:rsidP="00955203">
      <w:pPr>
        <w:pStyle w:val="Titulek"/>
        <w:keepNext/>
        <w:jc w:val="both"/>
      </w:pPr>
      <w:r>
        <w:t xml:space="preserve">Tabulka </w:t>
      </w:r>
      <w:fldSimple w:instr=" SEQ Tabulka \* ARABIC ">
        <w:r w:rsidR="006659B7">
          <w:rPr>
            <w:noProof/>
          </w:rPr>
          <w:t>1</w:t>
        </w:r>
      </w:fldSimple>
      <w:r>
        <w:t xml:space="preserve"> Ukazatele za rok 2019 a dopočet na celek</w:t>
      </w:r>
    </w:p>
    <w:p w14:paraId="0ECFDE7E" w14:textId="47E7D3EA" w:rsidR="00955203" w:rsidRDefault="00610E46" w:rsidP="00955203">
      <w:pPr>
        <w:pStyle w:val="Bezmezer"/>
        <w:keepNext/>
      </w:pPr>
      <w:r w:rsidRPr="003F0E81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305F7122" wp14:editId="72A8DA3F">
            <wp:extent cx="5727700" cy="2916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CEA01" w14:textId="250CE5DC" w:rsidR="00D27484" w:rsidRPr="006659B7" w:rsidRDefault="00D27484" w:rsidP="006659B7">
      <w:pPr>
        <w:pStyle w:val="Bezmezer"/>
      </w:pPr>
      <w:r w:rsidRPr="003F0E81">
        <w:t>Tabulka 1 zachycuje data za rok 2019 pocházející z prvního sběru, ze kterého vychází, že za první sběr data poskytlo 66 neziskových subjektů zahrnující jak muzea, která jsou příspěvkovými institucemi na místní, krajské i národní úrovni, tak nestátní neziskové organizace. Z oblasti komerčního výtvarného umění vyplnilo dotazník v rámci prvního sběru 8 komerčních galerií. Tabulka dále zobrazuje celkový obrat sektoru v roce 2019, celkové náklady</w:t>
      </w:r>
      <w:r w:rsidR="00C07253">
        <w:t>,</w:t>
      </w:r>
      <w:r w:rsidRPr="003F0E81">
        <w:t xml:space="preserve"> na jejichž základě došlo k určení průměrných měsíčních nákladů</w:t>
      </w:r>
      <w:r w:rsidR="00C07253">
        <w:t>,</w:t>
      </w:r>
      <w:r w:rsidRPr="003F0E81">
        <w:t xml:space="preserve"> a dále indikátory vztahující se k počtu zaměstnanců a spolupracovníků (DPP, DPŘ a OSVČ). Jelikož záměrem výzkumu by</w:t>
      </w:r>
      <w:r w:rsidR="00C07253">
        <w:t>lo identifikovat dopad na cel</w:t>
      </w:r>
      <w:r w:rsidRPr="003F0E81">
        <w:t>ý sektor a jelikož dotazník vyplnilo poměrně ma</w:t>
      </w:r>
      <w:r w:rsidR="00C07253">
        <w:t>lé množství subjektů, byl vypočítán koeficient</w:t>
      </w:r>
      <w:r w:rsidRPr="003F0E81">
        <w:t xml:space="preserve">, který byl dále použit na dopočet dopadů na celý sektor. </w:t>
      </w:r>
    </w:p>
    <w:p w14:paraId="3B2DF9E9" w14:textId="74F50723" w:rsidR="006659B7" w:rsidRPr="006659B7" w:rsidRDefault="006659B7" w:rsidP="006659B7">
      <w:pPr>
        <w:pStyle w:val="Titulek"/>
        <w:keepNext/>
        <w:jc w:val="both"/>
      </w:pPr>
      <w:r>
        <w:t xml:space="preserve">Tabulka </w:t>
      </w:r>
      <w:fldSimple w:instr=" SEQ Tabulka \* ARABIC ">
        <w:r>
          <w:rPr>
            <w:noProof/>
          </w:rPr>
          <w:t>2</w:t>
        </w:r>
      </w:fldSimple>
      <w:r>
        <w:t xml:space="preserve"> Stanovení koeficientu pro dopočet na celek</w:t>
      </w:r>
    </w:p>
    <w:p w14:paraId="3451DD4D" w14:textId="0B3CAC54" w:rsidR="00F5065F" w:rsidRPr="006659B7" w:rsidRDefault="00610E46" w:rsidP="006659B7">
      <w:pPr>
        <w:jc w:val="both"/>
        <w:rPr>
          <w:rFonts w:ascii="Arial" w:hAnsi="Arial" w:cs="Arial"/>
          <w:sz w:val="20"/>
          <w:szCs w:val="20"/>
        </w:rPr>
      </w:pPr>
      <w:r w:rsidRPr="003F0E81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686B4988" wp14:editId="2AB266D2">
            <wp:extent cx="5727700" cy="87304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0483" cy="8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BE2E9" w14:textId="77777777" w:rsidR="006659B7" w:rsidRDefault="006659B7" w:rsidP="006659B7">
      <w:pPr>
        <w:pStyle w:val="Bezmezer"/>
      </w:pPr>
    </w:p>
    <w:p w14:paraId="74E0DB64" w14:textId="31ABCF49" w:rsidR="00610E46" w:rsidRPr="003F0E81" w:rsidRDefault="00610E46" w:rsidP="006659B7">
      <w:pPr>
        <w:pStyle w:val="Bezmezer"/>
      </w:pPr>
      <w:r w:rsidRPr="003F0E81">
        <w:lastRenderedPageBreak/>
        <w:t xml:space="preserve">Tabulka 2 zobrazuje výpočet koeficientu pro dopočet získaných dat na celý sektor pomocí zjištění podílu získaných dat na celku. </w:t>
      </w:r>
    </w:p>
    <w:p w14:paraId="53DA1C5C" w14:textId="6D199636" w:rsidR="006659B7" w:rsidRPr="003F0E81" w:rsidRDefault="006659B7" w:rsidP="006659B7">
      <w:pPr>
        <w:pStyle w:val="Nadpis1"/>
        <w:pBdr>
          <w:top w:val="single" w:sz="4" w:space="1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rPr>
          <w:rFonts w:ascii="Garamond" w:hAnsi="Garamond"/>
          <w:color w:val="FFFFFF" w:themeColor="background1"/>
          <w:lang w:val="cs-CZ"/>
        </w:rPr>
      </w:pPr>
      <w:r>
        <w:rPr>
          <w:rFonts w:ascii="Garamond" w:hAnsi="Garamond"/>
          <w:color w:val="FFFFFF" w:themeColor="background1"/>
          <w:lang w:val="cs-CZ"/>
        </w:rPr>
        <w:t>VÝSLEDKY</w:t>
      </w:r>
    </w:p>
    <w:p w14:paraId="4B5E9F1E" w14:textId="4B609991" w:rsidR="00610E46" w:rsidRPr="006659B7" w:rsidRDefault="00AD5E25" w:rsidP="006659B7">
      <w:pPr>
        <w:pStyle w:val="Bezmezer"/>
      </w:pPr>
      <w:r w:rsidRPr="003F0E81">
        <w:t>Konkrétní údaje získané pomocí dotazníku jsme vynásobili stanoveným koeficientem</w:t>
      </w:r>
      <w:r w:rsidR="00610E46" w:rsidRPr="003F0E81">
        <w:t xml:space="preserve"> a výsledky jsou zachyceny v Tabulce 3. </w:t>
      </w:r>
    </w:p>
    <w:p w14:paraId="7A81DF8C" w14:textId="4EF29590" w:rsidR="006659B7" w:rsidRPr="006659B7" w:rsidRDefault="006659B7" w:rsidP="006659B7">
      <w:pPr>
        <w:pStyle w:val="Titulek"/>
        <w:keepNext/>
        <w:jc w:val="both"/>
      </w:pPr>
      <w:r>
        <w:t xml:space="preserve">Tabulka </w:t>
      </w:r>
      <w:fldSimple w:instr=" SEQ Tabulka \* ARABIC ">
        <w:r>
          <w:rPr>
            <w:noProof/>
          </w:rPr>
          <w:t>3</w:t>
        </w:r>
      </w:fldSimple>
      <w:r>
        <w:t xml:space="preserve"> Data za březen 2020 a dopočet na celek</w:t>
      </w:r>
    </w:p>
    <w:p w14:paraId="2DFA4A69" w14:textId="68555D74" w:rsidR="00610E46" w:rsidRPr="003F0E81" w:rsidRDefault="00610E46" w:rsidP="00AD5E25">
      <w:pPr>
        <w:jc w:val="both"/>
        <w:rPr>
          <w:rFonts w:ascii="Arial" w:hAnsi="Arial" w:cs="Arial"/>
          <w:sz w:val="20"/>
          <w:szCs w:val="20"/>
        </w:rPr>
      </w:pPr>
      <w:r w:rsidRPr="003F0E81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0A41699A" wp14:editId="199AF27D">
            <wp:extent cx="5727700" cy="2631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F2640" w14:textId="6F4DE473" w:rsidR="00610E46" w:rsidRPr="003F0E81" w:rsidRDefault="00610E46" w:rsidP="00AD5E25">
      <w:pPr>
        <w:jc w:val="both"/>
        <w:rPr>
          <w:rFonts w:ascii="Arial" w:hAnsi="Arial" w:cs="Arial"/>
          <w:sz w:val="20"/>
          <w:szCs w:val="20"/>
        </w:rPr>
      </w:pPr>
    </w:p>
    <w:p w14:paraId="35AB99EE" w14:textId="161F70EF" w:rsidR="00962605" w:rsidRDefault="007E14A6" w:rsidP="00962605">
      <w:pPr>
        <w:pStyle w:val="Bezmezer"/>
      </w:pPr>
      <w:r w:rsidRPr="003F0E81">
        <w:t>Z Tabulky 3 vyplývá, že jen za březen 2020 se předpokládá</w:t>
      </w:r>
      <w:r w:rsidR="00C07253">
        <w:t>,</w:t>
      </w:r>
      <w:r w:rsidRPr="003F0E81">
        <w:t xml:space="preserve"> že v sektoru výtvarného umění nemohlo výstavy a další programy navštívit 1 332 580 návštěvníků</w:t>
      </w:r>
      <w:r w:rsidR="00486F6A">
        <w:t>,</w:t>
      </w:r>
      <w:r w:rsidRPr="003F0E81">
        <w:t xml:space="preserve"> a</w:t>
      </w:r>
      <w:r w:rsidR="00962605">
        <w:t xml:space="preserve"> zároveň</w:t>
      </w:r>
      <w:r w:rsidRPr="003F0E81">
        <w:t xml:space="preserve"> subjekty odhadoval</w:t>
      </w:r>
      <w:r w:rsidR="00962605">
        <w:t>y</w:t>
      </w:r>
      <w:r w:rsidRPr="003F0E81">
        <w:t xml:space="preserve">, že </w:t>
      </w:r>
      <w:r w:rsidR="00962605">
        <w:t xml:space="preserve">v dubnu 2020 </w:t>
      </w:r>
      <w:r w:rsidRPr="003F0E81">
        <w:t xml:space="preserve">toto číslo </w:t>
      </w:r>
      <w:r w:rsidR="00962605">
        <w:t xml:space="preserve">dosáhne </w:t>
      </w:r>
      <w:r w:rsidRPr="003F0E81">
        <w:t xml:space="preserve">dokonce 2 665 155 návštěvníků. </w:t>
      </w:r>
      <w:r w:rsidR="00EF29FB" w:rsidRPr="003F0E81">
        <w:t>Podle výpočtu na celek došlo v březnu ke zrušení 2 663 akcí v oblasti výtvarného umění zahrnující výstavy, doprovodné programy k výstavám, vel</w:t>
      </w:r>
      <w:r w:rsidR="004A0E11" w:rsidRPr="003F0E81">
        <w:t>e</w:t>
      </w:r>
      <w:r w:rsidR="00EF29FB" w:rsidRPr="003F0E81">
        <w:t xml:space="preserve">trhy umění a další. </w:t>
      </w:r>
      <w:r w:rsidR="004A0E11" w:rsidRPr="003F0E81">
        <w:t xml:space="preserve">Z dat dále vyplývá, že ušlé příjmy v celém sektoru jsou přibližně 103 378 000 Kč a celkový propad příjmů je </w:t>
      </w:r>
      <w:r w:rsidR="00962605">
        <w:br/>
      </w:r>
      <w:r w:rsidR="004A0E11" w:rsidRPr="003F0E81">
        <w:t>93 997 000 Kč, pokud bereme v potaz také nerealizované n</w:t>
      </w:r>
      <w:r w:rsidR="00486F6A">
        <w:t xml:space="preserve">áklady </w:t>
      </w:r>
      <w:r w:rsidR="004A0E11" w:rsidRPr="003F0E81">
        <w:t>vzhledem ke zrušen</w:t>
      </w:r>
      <w:r w:rsidR="00962605">
        <w:t>ý</w:t>
      </w:r>
      <w:r w:rsidR="004A0E11" w:rsidRPr="003F0E81">
        <w:t>m akcí</w:t>
      </w:r>
      <w:r w:rsidR="00486F6A">
        <w:t>m</w:t>
      </w:r>
      <w:r w:rsidR="004A0E11" w:rsidRPr="003F0E81">
        <w:t xml:space="preserve">. </w:t>
      </w:r>
    </w:p>
    <w:p w14:paraId="61E6A5BC" w14:textId="3B74AEC8" w:rsidR="00AD22EE" w:rsidRPr="00962605" w:rsidRDefault="0061627B" w:rsidP="00962605">
      <w:pPr>
        <w:pStyle w:val="Bezmezer"/>
      </w:pPr>
      <w:r w:rsidRPr="003F0E81">
        <w:t>Graf 1 zobrazuje průměrné měsíční náklady v roce 2019 a náklady za měsíc březen 2020, které jsou signifikantně vyšší. Zvýšení těchto nákladů může být mimo jiné způsobeno zvýšenými náklady spojenými s </w:t>
      </w:r>
      <w:proofErr w:type="spellStart"/>
      <w:r w:rsidRPr="003F0E81">
        <w:t>koronavirovou</w:t>
      </w:r>
      <w:proofErr w:type="spellEnd"/>
      <w:r w:rsidRPr="003F0E81">
        <w:t xml:space="preserve"> pandemií. Subjekty musel</w:t>
      </w:r>
      <w:r w:rsidR="007B614B">
        <w:t>y</w:t>
      </w:r>
      <w:r w:rsidRPr="003F0E81">
        <w:t xml:space="preserve"> za prvé nakoupit například vybavení, které zajistilo, že jejich prostory </w:t>
      </w:r>
      <w:r w:rsidR="00486F6A">
        <w:t>byly</w:t>
      </w:r>
      <w:r w:rsidRPr="003F0E81">
        <w:t xml:space="preserve"> hygienicky zabezpečeny</w:t>
      </w:r>
      <w:r w:rsidR="00486F6A">
        <w:t>, a snižovalo se tak riziko</w:t>
      </w:r>
      <w:r w:rsidRPr="003F0E81">
        <w:t xml:space="preserve"> šíření </w:t>
      </w:r>
      <w:proofErr w:type="spellStart"/>
      <w:r w:rsidRPr="003F0E81">
        <w:t>koronaviru</w:t>
      </w:r>
      <w:proofErr w:type="spellEnd"/>
      <w:r w:rsidRPr="003F0E81">
        <w:t>. Za druhé, subjekty byl</w:t>
      </w:r>
      <w:r w:rsidR="007B614B">
        <w:t xml:space="preserve">y </w:t>
      </w:r>
      <w:r w:rsidRPr="003F0E81">
        <w:t>nucen</w:t>
      </w:r>
      <w:r w:rsidR="007B614B">
        <w:t>y</w:t>
      </w:r>
      <w:r w:rsidRPr="003F0E81">
        <w:t xml:space="preserve"> okamžitě investovat do digitalizace, aby si alespoň prostřed</w:t>
      </w:r>
      <w:r w:rsidR="00486F6A">
        <w:t>nictvím online prostředí udržely</w:t>
      </w:r>
      <w:r w:rsidRPr="003F0E81">
        <w:t xml:space="preserve"> kontakt se svými návštěvníky a komunitami. </w:t>
      </w:r>
    </w:p>
    <w:p w14:paraId="3DD16B5C" w14:textId="261070E1" w:rsidR="00AD22EE" w:rsidRPr="003F0E81" w:rsidRDefault="00AD22EE" w:rsidP="00AD5E25">
      <w:pPr>
        <w:jc w:val="both"/>
        <w:rPr>
          <w:rFonts w:ascii="Arial" w:hAnsi="Arial" w:cs="Arial"/>
          <w:sz w:val="20"/>
          <w:szCs w:val="20"/>
        </w:rPr>
      </w:pPr>
    </w:p>
    <w:p w14:paraId="5FC73403" w14:textId="77777777" w:rsidR="00AD22EE" w:rsidRPr="003F0E81" w:rsidRDefault="00AD22EE" w:rsidP="00AD5E25">
      <w:pPr>
        <w:jc w:val="both"/>
        <w:rPr>
          <w:rFonts w:ascii="Arial" w:hAnsi="Arial" w:cs="Arial"/>
          <w:sz w:val="20"/>
          <w:szCs w:val="20"/>
        </w:rPr>
      </w:pPr>
    </w:p>
    <w:p w14:paraId="7DE99238" w14:textId="5937769C" w:rsidR="007B614B" w:rsidRPr="007B614B" w:rsidRDefault="007B614B" w:rsidP="007B614B">
      <w:pPr>
        <w:pStyle w:val="Titulek"/>
        <w:keepNext/>
        <w:jc w:val="both"/>
      </w:pPr>
      <w:r>
        <w:t xml:space="preserve">Graf </w:t>
      </w:r>
      <w:fldSimple w:instr=" SEQ Graf \* ARABIC ">
        <w:r w:rsidR="00B326CB">
          <w:rPr>
            <w:noProof/>
          </w:rPr>
          <w:t>1</w:t>
        </w:r>
      </w:fldSimple>
      <w:r>
        <w:t xml:space="preserve"> Průměrné měsíční náklady v roce 2019 </w:t>
      </w:r>
      <w:proofErr w:type="spellStart"/>
      <w:r>
        <w:t>vs</w:t>
      </w:r>
      <w:proofErr w:type="spellEnd"/>
      <w:r>
        <w:t xml:space="preserve"> náklady v březnu 2020</w:t>
      </w:r>
    </w:p>
    <w:p w14:paraId="5E79FEF4" w14:textId="335B054A" w:rsidR="0061627B" w:rsidRPr="007B614B" w:rsidRDefault="0061627B" w:rsidP="007B614B">
      <w:pPr>
        <w:keepNext/>
        <w:jc w:val="both"/>
      </w:pPr>
      <w:r w:rsidRPr="003F0E81">
        <w:rPr>
          <w:noProof/>
          <w:lang w:eastAsia="cs-CZ"/>
        </w:rPr>
        <w:drawing>
          <wp:inline distT="0" distB="0" distL="0" distR="0" wp14:anchorId="2D7278FD" wp14:editId="03A1EE1E">
            <wp:extent cx="4032354" cy="2226039"/>
            <wp:effectExtent l="0" t="0" r="6350" b="952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8EA725-2150-1240-BF40-8364CBB9C3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8AEFBD" w14:textId="77777777" w:rsidR="00AD5E25" w:rsidRPr="003F0E81" w:rsidRDefault="00AD5E25" w:rsidP="00AD5E25">
      <w:pPr>
        <w:jc w:val="both"/>
        <w:rPr>
          <w:rFonts w:ascii="Arial" w:hAnsi="Arial" w:cs="Arial"/>
          <w:sz w:val="20"/>
          <w:szCs w:val="20"/>
        </w:rPr>
      </w:pPr>
    </w:p>
    <w:p w14:paraId="61CCCF38" w14:textId="0F13E55D" w:rsidR="00AD5E25" w:rsidRPr="003F0E81" w:rsidRDefault="00AD5E25" w:rsidP="00AD5E25">
      <w:pPr>
        <w:jc w:val="both"/>
        <w:rPr>
          <w:rFonts w:ascii="Arial" w:hAnsi="Arial" w:cs="Arial"/>
          <w:sz w:val="20"/>
          <w:szCs w:val="20"/>
        </w:rPr>
      </w:pPr>
    </w:p>
    <w:p w14:paraId="4BF8793C" w14:textId="3D053BD0" w:rsidR="00610E46" w:rsidRPr="000A7481" w:rsidRDefault="00AD22EE" w:rsidP="000A7481">
      <w:pPr>
        <w:pStyle w:val="Bezmezer"/>
      </w:pPr>
      <w:r w:rsidRPr="003F0E81">
        <w:t xml:space="preserve">Sběr dat za rok 2020 v rámci výzkumu probíhal prostřednictvím dotazníku za měsíce březen, duben a květen. Bohužel s každým kolem sběru dat ubývalo subjektů zapojených do výzkumu. Za druhý sběr vyplnilo dotazník pouze 44 subjektů, z toho 39 neziskových, zahrnujících opět </w:t>
      </w:r>
      <w:r w:rsidR="002F2418" w:rsidRPr="003F0E81">
        <w:t>příspěvkové organizace orgánů státní správy a nestátní neziskové organice a pouze 5 soukromých uměleckých galerií. Třetí sběr dat byl ještě slabší a podařilo se získat data za květen pouze od 18 subjektů</w:t>
      </w:r>
      <w:r w:rsidR="00776ACE" w:rsidRPr="003F0E81">
        <w:t xml:space="preserve">, 2 soukromých uměleckých galerií a 16 neziskových subjektů. V případě druhého a třetí sběru se tak nepodařilo získat dostatečně reprezentativní vzorek k tomu, aby byl dopočet na celek relevantní a vypovídající. </w:t>
      </w:r>
    </w:p>
    <w:p w14:paraId="10CE9F58" w14:textId="61C3AA90" w:rsidR="00610E46" w:rsidRPr="003F0E81" w:rsidRDefault="00610E46" w:rsidP="00AD5E25">
      <w:pPr>
        <w:jc w:val="both"/>
        <w:rPr>
          <w:rFonts w:ascii="Arial" w:hAnsi="Arial" w:cs="Arial"/>
          <w:sz w:val="20"/>
          <w:szCs w:val="20"/>
        </w:rPr>
      </w:pPr>
    </w:p>
    <w:p w14:paraId="0CD283BF" w14:textId="1F94A827" w:rsidR="000A7481" w:rsidRPr="000A7481" w:rsidRDefault="000A7481" w:rsidP="000A7481">
      <w:pPr>
        <w:pStyle w:val="Titulek"/>
        <w:keepNext/>
        <w:jc w:val="both"/>
      </w:pPr>
      <w:r>
        <w:t xml:space="preserve">Graf </w:t>
      </w:r>
      <w:fldSimple w:instr=" SEQ Graf \* ARABIC ">
        <w:r w:rsidR="00B326CB">
          <w:rPr>
            <w:noProof/>
          </w:rPr>
          <w:t>2</w:t>
        </w:r>
      </w:fldSimple>
      <w:r>
        <w:t xml:space="preserve"> Vývoj počtu zapojených subjektů v jednotlivých fázích výzkumu</w:t>
      </w:r>
    </w:p>
    <w:p w14:paraId="2A734DFA" w14:textId="6F9142DD" w:rsidR="00610E46" w:rsidRPr="003F0E81" w:rsidRDefault="00AD22EE" w:rsidP="00AD5E25">
      <w:pPr>
        <w:jc w:val="both"/>
        <w:rPr>
          <w:rFonts w:ascii="Arial" w:hAnsi="Arial" w:cs="Arial"/>
          <w:sz w:val="20"/>
          <w:szCs w:val="20"/>
        </w:rPr>
      </w:pPr>
      <w:r w:rsidRPr="003F0E81">
        <w:rPr>
          <w:noProof/>
          <w:lang w:eastAsia="cs-CZ"/>
        </w:rPr>
        <w:drawing>
          <wp:inline distT="0" distB="0" distL="0" distR="0" wp14:anchorId="4F164077" wp14:editId="61231636">
            <wp:extent cx="4714407" cy="2818151"/>
            <wp:effectExtent l="0" t="0" r="10160" b="1397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CD7B0B-919C-BB4C-A63F-C044A372B1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2BF00BD" w14:textId="648C0E3A" w:rsidR="00776ACE" w:rsidRPr="003F0E81" w:rsidRDefault="00776ACE" w:rsidP="00AD5E25">
      <w:pPr>
        <w:jc w:val="both"/>
        <w:rPr>
          <w:rFonts w:ascii="Arial" w:hAnsi="Arial" w:cs="Arial"/>
          <w:sz w:val="20"/>
          <w:szCs w:val="20"/>
        </w:rPr>
      </w:pPr>
    </w:p>
    <w:p w14:paraId="07A72C99" w14:textId="0475C52D" w:rsidR="007B09F4" w:rsidRDefault="00F35DDF" w:rsidP="007B09F4">
      <w:pPr>
        <w:pStyle w:val="Bezmezer"/>
      </w:pPr>
      <w:r w:rsidRPr="003F0E81">
        <w:lastRenderedPageBreak/>
        <w:t>Přesto však stojí několik údaj</w:t>
      </w:r>
      <w:r w:rsidR="007B09F4">
        <w:t>ů</w:t>
      </w:r>
      <w:r w:rsidRPr="003F0E81">
        <w:t xml:space="preserve"> za zveřejnění. Pouze 2 subjekty ze 44 uvedly, že za měsíc duben měly výnosy z mimořádných programů a kampaní spojených s pandemií v celkové hodně 31 000 Kč. Dále 44 subjektů uvedlo, že odhaduje ušlé příjmy za měsíc duben v hodnotě 22 370 000 Kč</w:t>
      </w:r>
      <w:r w:rsidR="00142C99" w:rsidRPr="003F0E81">
        <w:t xml:space="preserve"> a musely zrušit 680 akcí. </w:t>
      </w:r>
    </w:p>
    <w:p w14:paraId="30194B18" w14:textId="77777777" w:rsidR="0033076F" w:rsidRDefault="00142C99" w:rsidP="0033076F">
      <w:pPr>
        <w:pStyle w:val="Bezmezer"/>
      </w:pPr>
      <w:r w:rsidRPr="003F0E81">
        <w:t>Součástí dotazníku byl</w:t>
      </w:r>
      <w:r w:rsidR="001C587E" w:rsidRPr="003F0E81">
        <w:t xml:space="preserve">y také otázky vztahující se k využití vládních opatření ke snížení ekonomického dopadu </w:t>
      </w:r>
      <w:proofErr w:type="spellStart"/>
      <w:r w:rsidR="001C587E" w:rsidRPr="003F0E81">
        <w:t>koronavirové</w:t>
      </w:r>
      <w:proofErr w:type="spellEnd"/>
      <w:r w:rsidR="001C587E" w:rsidRPr="003F0E81">
        <w:t xml:space="preserve"> pandemie. Z</w:t>
      </w:r>
      <w:r w:rsidR="00E673A7" w:rsidRPr="003F0E81">
        <w:t xml:space="preserve">e 74 </w:t>
      </w:r>
      <w:r w:rsidR="001C587E" w:rsidRPr="003F0E81">
        <w:t xml:space="preserve">zapojených subjektů v </w:t>
      </w:r>
      <w:r w:rsidR="00E673A7" w:rsidRPr="003F0E81">
        <w:t>prvním sběru výzkumu 27 uvedlo, že využilo ně</w:t>
      </w:r>
      <w:r w:rsidR="007B09F4">
        <w:t>která</w:t>
      </w:r>
      <w:r w:rsidR="00E673A7" w:rsidRPr="003F0E81">
        <w:t xml:space="preserve"> z</w:t>
      </w:r>
      <w:r w:rsidR="007B09F4">
        <w:t> vládních opatření</w:t>
      </w:r>
      <w:r w:rsidR="00E673A7" w:rsidRPr="003F0E81">
        <w:t>.</w:t>
      </w:r>
      <w:r w:rsidR="001C587E" w:rsidRPr="003F0E81">
        <w:t xml:space="preserve"> </w:t>
      </w:r>
      <w:r w:rsidR="00E673A7" w:rsidRPr="003F0E81">
        <w:t>N</w:t>
      </w:r>
      <w:r w:rsidR="001C587E" w:rsidRPr="003F0E81">
        <w:t>ejvíce z nich odpovědělo, že využil</w:t>
      </w:r>
      <w:r w:rsidR="00E673A7" w:rsidRPr="003F0E81">
        <w:t>y</w:t>
      </w:r>
      <w:r w:rsidR="001C587E" w:rsidRPr="003F0E81">
        <w:t xml:space="preserve"> ošetřovné, dále pak jednorázov</w:t>
      </w:r>
      <w:r w:rsidR="0033076F">
        <w:t>ou</w:t>
      </w:r>
      <w:r w:rsidR="001C587E" w:rsidRPr="003F0E81">
        <w:t xml:space="preserve"> podpor</w:t>
      </w:r>
      <w:r w:rsidR="0033076F">
        <w:t>u</w:t>
      </w:r>
      <w:r w:rsidR="001C587E" w:rsidRPr="003F0E81">
        <w:t xml:space="preserve"> pro OSVČ, program Antivirus, odklad nájemného a odpuštění záloh na sociálním a zdravotním pojištění. </w:t>
      </w:r>
      <w:r w:rsidR="00E673A7" w:rsidRPr="003F0E81">
        <w:t>9 subjektů uvedlo, že jejich právní forma jim nedovoluje žádat o žádnou z podporu a dva subjekty uvedly, že překážkou je informační chaos a přílišná byrokracie spojená s žádostí o pod</w:t>
      </w:r>
      <w:r w:rsidR="004B68A7" w:rsidRPr="003F0E81">
        <w:t xml:space="preserve">poru. </w:t>
      </w:r>
      <w:r w:rsidR="0033076F">
        <w:t xml:space="preserve">Ostatní subjekty na otázku neodpověděly. </w:t>
      </w:r>
    </w:p>
    <w:p w14:paraId="5D876C6C" w14:textId="76DC051D" w:rsidR="00495971" w:rsidRDefault="00A30F3B" w:rsidP="00495971">
      <w:pPr>
        <w:pStyle w:val="Bezmezer"/>
      </w:pPr>
      <w:r w:rsidRPr="003F0E81">
        <w:t xml:space="preserve">33 ze 74 subjektů realizovalo nějakou formu náhradního programu či aktivity ve spojení s omezeními způsobenými </w:t>
      </w:r>
      <w:proofErr w:type="spellStart"/>
      <w:r w:rsidRPr="003F0E81">
        <w:t>koronavirovou</w:t>
      </w:r>
      <w:proofErr w:type="spellEnd"/>
      <w:r w:rsidRPr="003F0E81">
        <w:t xml:space="preserve"> pandemií. 31 z těchto subjektů uvedlo jako formu náhradního programu zvýšenou aktivitu na webových stránkách a sociálních sítích</w:t>
      </w:r>
      <w:r w:rsidR="00486F6A">
        <w:t>,</w:t>
      </w:r>
      <w:r w:rsidRPr="003F0E81">
        <w:t xml:space="preserve"> jako online výstavy, online diskuze, nahrané komentované prohlídky výstav a další. 2 subjekty uvedl</w:t>
      </w:r>
      <w:r w:rsidR="00495971">
        <w:t>y</w:t>
      </w:r>
      <w:r w:rsidRPr="003F0E81">
        <w:t xml:space="preserve"> jako náhradní program sociální pomoc a šití roušek. </w:t>
      </w:r>
    </w:p>
    <w:p w14:paraId="2D5CDDC2" w14:textId="0C984CBF" w:rsidR="00142C99" w:rsidRPr="00495971" w:rsidRDefault="00536F45" w:rsidP="00495971">
      <w:pPr>
        <w:pStyle w:val="Bezmezer"/>
      </w:pPr>
      <w:r w:rsidRPr="003F0E81">
        <w:t>Součástí dotazníku byla i otázka</w:t>
      </w:r>
      <w:r w:rsidR="00486F6A">
        <w:t>,</w:t>
      </w:r>
      <w:r w:rsidRPr="003F0E81">
        <w:t xml:space="preserve"> jako</w:t>
      </w:r>
      <w:r w:rsidR="00B326CB">
        <w:t>u</w:t>
      </w:r>
      <w:r w:rsidRPr="003F0E81">
        <w:t xml:space="preserve"> podporu by subjekty uvítaly. </w:t>
      </w:r>
      <w:r w:rsidR="00B326CB">
        <w:t xml:space="preserve">Jak je uvedeno v Grafu 3, </w:t>
      </w:r>
      <w:r w:rsidR="00175FC5" w:rsidRPr="003F0E81">
        <w:t xml:space="preserve">40 % subjektů uvedlo, že by uvítalo, pokud by bylo možné změnit obsah již schválených grantů (na úrovni MK, měst, krajů) tak, aby </w:t>
      </w:r>
      <w:r w:rsidR="00486F6A">
        <w:t xml:space="preserve">přidělené prostředky </w:t>
      </w:r>
      <w:r w:rsidR="00175FC5" w:rsidRPr="003F0E81">
        <w:t xml:space="preserve">nemusely být vráceny či kráceny, ale aby </w:t>
      </w:r>
      <w:r w:rsidR="00486F6A">
        <w:t>jejich použití mohlo být přizpůsobeno</w:t>
      </w:r>
      <w:r w:rsidR="00175FC5" w:rsidRPr="003F0E81">
        <w:t xml:space="preserve"> současné situaci. 38 % by pak uvítalo, kdyby byl spuštěn program dotací na podporu online formátů v oblasti kultury a umění. 10 % respondentů by ocenilo odpuštění záloh na sociální a zdravotní pojištění do konce roku 2020. 7 % by uvítalo opakování paušální podpory 25 000 Kč v případě trvajících opatřeních ke zmírnění šíření </w:t>
      </w:r>
      <w:proofErr w:type="spellStart"/>
      <w:r w:rsidR="00175FC5" w:rsidRPr="003F0E81">
        <w:t>koronaviru</w:t>
      </w:r>
      <w:proofErr w:type="spellEnd"/>
      <w:r w:rsidR="00175FC5" w:rsidRPr="003F0E81">
        <w:t xml:space="preserve">. 3 % spatřuje jako vhodné opatření příspěvek na mzdy a 2 % </w:t>
      </w:r>
      <w:r w:rsidR="00B326CB">
        <w:t xml:space="preserve">respondentů </w:t>
      </w:r>
      <w:r w:rsidR="00175FC5" w:rsidRPr="003F0E81">
        <w:t xml:space="preserve">by ocenila kompenzaci případného schodku rozpočtu organizace pro rok 2020. </w:t>
      </w:r>
      <w:r w:rsidR="00D37BB7" w:rsidRPr="003F0E81">
        <w:t>Nutno podotknout, že na tuto otázku respondenti odpovídal</w:t>
      </w:r>
      <w:r w:rsidR="00245CFE">
        <w:t>i</w:t>
      </w:r>
      <w:r w:rsidR="00D37BB7" w:rsidRPr="003F0E81">
        <w:t xml:space="preserve"> v dubnu 2020, tedy před zavedením některých další opatření a uvedení dotačních programů. </w:t>
      </w:r>
    </w:p>
    <w:p w14:paraId="7CB3DC25" w14:textId="1B117EC4" w:rsidR="00536F45" w:rsidRPr="003F0E81" w:rsidRDefault="00536F45" w:rsidP="00AD5E25">
      <w:pPr>
        <w:jc w:val="both"/>
        <w:rPr>
          <w:rFonts w:ascii="Arial" w:hAnsi="Arial" w:cs="Arial"/>
          <w:sz w:val="20"/>
          <w:szCs w:val="20"/>
        </w:rPr>
      </w:pPr>
    </w:p>
    <w:p w14:paraId="1227DD46" w14:textId="5D36BC10" w:rsidR="00B326CB" w:rsidRPr="00B326CB" w:rsidRDefault="00B326CB" w:rsidP="00B326CB">
      <w:pPr>
        <w:pStyle w:val="Titulek"/>
        <w:keepNext/>
        <w:jc w:val="both"/>
      </w:pPr>
      <w:r>
        <w:lastRenderedPageBreak/>
        <w:t xml:space="preserve">Graf </w:t>
      </w:r>
      <w:fldSimple w:instr=" SEQ Graf \* ARABIC ">
        <w:r>
          <w:rPr>
            <w:noProof/>
          </w:rPr>
          <w:t>3</w:t>
        </w:r>
      </w:fldSimple>
      <w:r>
        <w:t xml:space="preserve"> Preferovaná vládní opatření </w:t>
      </w:r>
    </w:p>
    <w:p w14:paraId="0938DA7B" w14:textId="4AD68300" w:rsidR="00536F45" w:rsidRPr="003F0E81" w:rsidRDefault="00175FC5" w:rsidP="00AD5E25">
      <w:pPr>
        <w:jc w:val="both"/>
        <w:rPr>
          <w:rFonts w:ascii="Arial" w:hAnsi="Arial" w:cs="Arial"/>
          <w:sz w:val="20"/>
          <w:szCs w:val="20"/>
        </w:rPr>
      </w:pPr>
      <w:r w:rsidRPr="003F0E81">
        <w:rPr>
          <w:noProof/>
          <w:lang w:eastAsia="cs-CZ"/>
        </w:rPr>
        <w:drawing>
          <wp:inline distT="0" distB="0" distL="0" distR="0" wp14:anchorId="226C7DA7" wp14:editId="7812CB65">
            <wp:extent cx="5727700" cy="3811270"/>
            <wp:effectExtent l="0" t="0" r="12700" b="1143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5A54B8-CC3A-A645-9670-23B0F1B149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1DB10DD" w14:textId="7C22EBDD" w:rsidR="00536F45" w:rsidRPr="003F0E81" w:rsidRDefault="00536F45" w:rsidP="00AD5E25">
      <w:pPr>
        <w:jc w:val="both"/>
        <w:rPr>
          <w:rFonts w:ascii="Arial" w:hAnsi="Arial" w:cs="Arial"/>
          <w:sz w:val="20"/>
          <w:szCs w:val="20"/>
        </w:rPr>
      </w:pPr>
    </w:p>
    <w:p w14:paraId="62BF679B" w14:textId="63F69BEB" w:rsidR="00536F45" w:rsidRPr="003F0E81" w:rsidRDefault="00536F45" w:rsidP="00AD5E25">
      <w:pPr>
        <w:jc w:val="both"/>
        <w:rPr>
          <w:rFonts w:ascii="Arial" w:hAnsi="Arial" w:cs="Arial"/>
          <w:sz w:val="20"/>
          <w:szCs w:val="20"/>
        </w:rPr>
      </w:pPr>
    </w:p>
    <w:p w14:paraId="1015D41A" w14:textId="14C3C5D7" w:rsidR="00B326CB" w:rsidRDefault="00245CFE" w:rsidP="00B326CB">
      <w:pPr>
        <w:pStyle w:val="Bezmezer"/>
      </w:pPr>
      <w:r>
        <w:t>Respondenti byli</w:t>
      </w:r>
      <w:r w:rsidR="00D37BB7" w:rsidRPr="003F0E81">
        <w:t xml:space="preserve"> také dotazováni, zda očekávají v souvislosti s</w:t>
      </w:r>
      <w:r w:rsidR="00B326CB">
        <w:t> </w:t>
      </w:r>
      <w:proofErr w:type="spellStart"/>
      <w:r w:rsidR="00B326CB">
        <w:t>koronavirovou</w:t>
      </w:r>
      <w:proofErr w:type="spellEnd"/>
      <w:r w:rsidR="00B326CB">
        <w:t xml:space="preserve"> pandemií</w:t>
      </w:r>
      <w:r w:rsidR="00D37BB7" w:rsidRPr="003F0E81">
        <w:t xml:space="preserve"> výraznou změnu nebo dokonce ukončení umělecké činnosti. Téměř všichni respondenti odpověděli, že očekávají určitou změnu, nikoli</w:t>
      </w:r>
      <w:r w:rsidR="00F37548" w:rsidRPr="003F0E81">
        <w:t xml:space="preserve"> však ukončení činnosti</w:t>
      </w:r>
      <w:r w:rsidR="00762D55" w:rsidRPr="003F0E81">
        <w:t>. Ovšem několik</w:t>
      </w:r>
      <w:r w:rsidR="00B326CB">
        <w:t>rát</w:t>
      </w:r>
      <w:r w:rsidR="00762D55" w:rsidRPr="003F0E81">
        <w:t xml:space="preserve"> byla zmíněna obava z toho, že ochota podpory neziskového kulturního sektoru bude v následujících měsících jak se strany orgánů státní správy, tak se strany soukromého sektoru odsunuta, což by mohlo být pro některé subjekty likvidační. </w:t>
      </w:r>
      <w:r>
        <w:t>Několik subjektů</w:t>
      </w:r>
      <w:r w:rsidR="001351C5" w:rsidRPr="003F0E81">
        <w:t xml:space="preserve"> uvedlo, že muselo výrazně omezit svou činnost, změnit svůj program a nezačínat nové projekty, to vše spojené s extrémním nárůstem práce za stejné peníze. </w:t>
      </w:r>
    </w:p>
    <w:p w14:paraId="66A7D252" w14:textId="79DB8B00" w:rsidR="00655B32" w:rsidRPr="003F0E81" w:rsidRDefault="00F5065F" w:rsidP="00B326CB">
      <w:pPr>
        <w:pStyle w:val="Bezmezer"/>
      </w:pPr>
      <w:r w:rsidRPr="003F0E81">
        <w:t xml:space="preserve">V době psaní této zprávy zasáhla téměř celý svět tzv. druhá vlna </w:t>
      </w:r>
      <w:proofErr w:type="spellStart"/>
      <w:r w:rsidRPr="003F0E81">
        <w:t>koronavirové</w:t>
      </w:r>
      <w:proofErr w:type="spellEnd"/>
      <w:r w:rsidRPr="003F0E81">
        <w:t xml:space="preserve"> pandemie</w:t>
      </w:r>
      <w:r w:rsidR="0039607D" w:rsidRPr="003F0E81">
        <w:t xml:space="preserve">, proto je nutné se i v následujících měsících věnovat výzkumu dopadů této krize na kulturní sektor a hledat cesty, jak tento negativní </w:t>
      </w:r>
      <w:r w:rsidR="00245CFE">
        <w:t>trend</w:t>
      </w:r>
      <w:r w:rsidR="0039607D" w:rsidRPr="003F0E81">
        <w:t xml:space="preserve"> zmírnit. </w:t>
      </w:r>
    </w:p>
    <w:p w14:paraId="430C4EFC" w14:textId="77777777" w:rsidR="00142C99" w:rsidRPr="003F0E81" w:rsidRDefault="00142C99" w:rsidP="00AD5E25">
      <w:pPr>
        <w:jc w:val="both"/>
        <w:rPr>
          <w:rFonts w:ascii="Arial" w:hAnsi="Arial" w:cs="Arial"/>
          <w:sz w:val="20"/>
          <w:szCs w:val="20"/>
        </w:rPr>
      </w:pPr>
    </w:p>
    <w:p w14:paraId="5663C6FA" w14:textId="3076A889" w:rsidR="00610E46" w:rsidRDefault="00610E46" w:rsidP="00AD5E25">
      <w:pPr>
        <w:jc w:val="both"/>
        <w:rPr>
          <w:rFonts w:ascii="Arial" w:hAnsi="Arial" w:cs="Arial"/>
          <w:sz w:val="20"/>
          <w:szCs w:val="20"/>
        </w:rPr>
      </w:pPr>
    </w:p>
    <w:p w14:paraId="532C675C" w14:textId="69861B39" w:rsidR="00B326CB" w:rsidRDefault="00B326CB" w:rsidP="00AD5E25">
      <w:pPr>
        <w:jc w:val="both"/>
        <w:rPr>
          <w:rFonts w:ascii="Arial" w:hAnsi="Arial" w:cs="Arial"/>
          <w:sz w:val="20"/>
          <w:szCs w:val="20"/>
        </w:rPr>
      </w:pPr>
    </w:p>
    <w:p w14:paraId="58CF3BA3" w14:textId="212FC591" w:rsidR="00B326CB" w:rsidRDefault="00B326CB" w:rsidP="00AD5E25">
      <w:pPr>
        <w:jc w:val="both"/>
        <w:rPr>
          <w:rFonts w:ascii="Arial" w:hAnsi="Arial" w:cs="Arial"/>
          <w:sz w:val="20"/>
          <w:szCs w:val="20"/>
        </w:rPr>
      </w:pPr>
    </w:p>
    <w:p w14:paraId="40BB0DFD" w14:textId="77777777" w:rsidR="00B326CB" w:rsidRPr="003F0E81" w:rsidRDefault="00B326CB" w:rsidP="00AD5E25">
      <w:pPr>
        <w:jc w:val="both"/>
        <w:rPr>
          <w:rFonts w:ascii="Arial" w:hAnsi="Arial" w:cs="Arial"/>
          <w:sz w:val="20"/>
          <w:szCs w:val="20"/>
        </w:rPr>
      </w:pPr>
    </w:p>
    <w:p w14:paraId="61B66DFC" w14:textId="6F6255E2" w:rsidR="00AD5E25" w:rsidRPr="003F0E81" w:rsidRDefault="00AD5E25" w:rsidP="007A7A41">
      <w:pPr>
        <w:rPr>
          <w:rFonts w:ascii="Arial" w:hAnsi="Arial" w:cs="Arial"/>
          <w:sz w:val="20"/>
          <w:szCs w:val="20"/>
        </w:rPr>
      </w:pPr>
    </w:p>
    <w:p w14:paraId="2A85B57D" w14:textId="669055F3" w:rsidR="0039607D" w:rsidRPr="003F0E81" w:rsidRDefault="0039607D" w:rsidP="007A7A41">
      <w:pPr>
        <w:rPr>
          <w:rFonts w:ascii="Arial" w:hAnsi="Arial" w:cs="Arial"/>
          <w:sz w:val="20"/>
          <w:szCs w:val="20"/>
        </w:rPr>
      </w:pPr>
    </w:p>
    <w:p w14:paraId="4A3E2770" w14:textId="77777777" w:rsidR="0039607D" w:rsidRPr="003F0E81" w:rsidRDefault="0039607D" w:rsidP="007A7A41"/>
    <w:p w14:paraId="766DE199" w14:textId="20DD79FD" w:rsidR="00B326CB" w:rsidRPr="003F0E81" w:rsidRDefault="00B326CB" w:rsidP="00B326CB">
      <w:pPr>
        <w:pStyle w:val="Nadpis1"/>
        <w:pBdr>
          <w:top w:val="single" w:sz="4" w:space="0" w:color="44546A" w:themeColor="text2"/>
          <w:bottom w:val="single" w:sz="4" w:space="0" w:color="44546A" w:themeColor="text2"/>
        </w:pBdr>
        <w:shd w:val="clear" w:color="auto" w:fill="44546A" w:themeFill="text2"/>
        <w:spacing w:before="120"/>
        <w:ind w:left="-1418" w:right="-1440" w:firstLine="1418"/>
        <w:rPr>
          <w:rFonts w:ascii="Garamond" w:hAnsi="Garamond"/>
          <w:color w:val="FFFFFF" w:themeColor="background1"/>
          <w:lang w:val="cs-CZ"/>
        </w:rPr>
      </w:pPr>
      <w:r>
        <w:rPr>
          <w:rFonts w:ascii="Garamond" w:hAnsi="Garamond"/>
          <w:color w:val="FFFFFF" w:themeColor="background1"/>
          <w:lang w:val="cs-CZ"/>
        </w:rPr>
        <w:lastRenderedPageBreak/>
        <w:t>POUŽITÉ ZDROJE</w:t>
      </w:r>
    </w:p>
    <w:p w14:paraId="5F55B782" w14:textId="77777777" w:rsidR="00B326CB" w:rsidRDefault="00B326CB" w:rsidP="007A7A41"/>
    <w:p w14:paraId="1CD740AA" w14:textId="77777777" w:rsidR="00746CC8" w:rsidRPr="003F0E81" w:rsidRDefault="00746CC8" w:rsidP="00746CC8">
      <w:pPr>
        <w:autoSpaceDE w:val="0"/>
        <w:autoSpaceDN w:val="0"/>
        <w:adjustRightInd w:val="0"/>
      </w:pPr>
    </w:p>
    <w:p w14:paraId="08D8728F" w14:textId="18F0B94C" w:rsidR="00746CC8" w:rsidRDefault="00746CC8" w:rsidP="00B326CB">
      <w:pPr>
        <w:pStyle w:val="Bezmezer"/>
        <w:numPr>
          <w:ilvl w:val="0"/>
          <w:numId w:val="5"/>
        </w:numPr>
        <w:rPr>
          <w:shd w:val="clear" w:color="auto" w:fill="FFFFFF"/>
          <w:lang w:eastAsia="en-GB"/>
        </w:rPr>
      </w:pPr>
      <w:proofErr w:type="spellStart"/>
      <w:r w:rsidRPr="003F0E81">
        <w:rPr>
          <w:shd w:val="clear" w:color="auto" w:fill="FFFFFF"/>
          <w:lang w:eastAsia="en-GB"/>
        </w:rPr>
        <w:t>Bonet</w:t>
      </w:r>
      <w:proofErr w:type="spellEnd"/>
      <w:r w:rsidRPr="003F0E81">
        <w:rPr>
          <w:shd w:val="clear" w:color="auto" w:fill="FFFFFF"/>
          <w:lang w:eastAsia="en-GB"/>
        </w:rPr>
        <w:t xml:space="preserve">, L., &amp; </w:t>
      </w:r>
      <w:proofErr w:type="spellStart"/>
      <w:r w:rsidRPr="003F0E81">
        <w:rPr>
          <w:shd w:val="clear" w:color="auto" w:fill="FFFFFF"/>
          <w:lang w:eastAsia="en-GB"/>
        </w:rPr>
        <w:t>Donato</w:t>
      </w:r>
      <w:proofErr w:type="spellEnd"/>
      <w:r w:rsidRPr="003F0E81">
        <w:rPr>
          <w:shd w:val="clear" w:color="auto" w:fill="FFFFFF"/>
          <w:lang w:eastAsia="en-GB"/>
        </w:rPr>
        <w:t xml:space="preserve">, F. (2011). </w:t>
      </w:r>
      <w:proofErr w:type="spellStart"/>
      <w:r w:rsidRPr="003F0E81">
        <w:rPr>
          <w:shd w:val="clear" w:color="auto" w:fill="FFFFFF"/>
          <w:lang w:eastAsia="en-GB"/>
        </w:rPr>
        <w:t>The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financial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crisis</w:t>
      </w:r>
      <w:proofErr w:type="spellEnd"/>
      <w:r w:rsidRPr="003F0E81">
        <w:rPr>
          <w:shd w:val="clear" w:color="auto" w:fill="FFFFFF"/>
          <w:lang w:eastAsia="en-GB"/>
        </w:rPr>
        <w:t xml:space="preserve"> and </w:t>
      </w:r>
      <w:proofErr w:type="spellStart"/>
      <w:r w:rsidRPr="003F0E81">
        <w:rPr>
          <w:shd w:val="clear" w:color="auto" w:fill="FFFFFF"/>
          <w:lang w:eastAsia="en-GB"/>
        </w:rPr>
        <w:t>its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impact</w:t>
      </w:r>
      <w:proofErr w:type="spellEnd"/>
      <w:r w:rsidRPr="003F0E81">
        <w:rPr>
          <w:shd w:val="clear" w:color="auto" w:fill="FFFFFF"/>
          <w:lang w:eastAsia="en-GB"/>
        </w:rPr>
        <w:t xml:space="preserve"> on </w:t>
      </w:r>
      <w:proofErr w:type="spellStart"/>
      <w:r w:rsidRPr="003F0E81">
        <w:rPr>
          <w:shd w:val="clear" w:color="auto" w:fill="FFFFFF"/>
          <w:lang w:eastAsia="en-GB"/>
        </w:rPr>
        <w:t>the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current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models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of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governance</w:t>
      </w:r>
      <w:proofErr w:type="spellEnd"/>
      <w:r w:rsidRPr="003F0E81">
        <w:rPr>
          <w:shd w:val="clear" w:color="auto" w:fill="FFFFFF"/>
          <w:lang w:eastAsia="en-GB"/>
        </w:rPr>
        <w:t xml:space="preserve"> and management </w:t>
      </w:r>
      <w:proofErr w:type="spellStart"/>
      <w:r w:rsidRPr="003F0E81">
        <w:rPr>
          <w:shd w:val="clear" w:color="auto" w:fill="FFFFFF"/>
          <w:lang w:eastAsia="en-GB"/>
        </w:rPr>
        <w:t>of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the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cultural</w:t>
      </w:r>
      <w:proofErr w:type="spellEnd"/>
      <w:r w:rsidRPr="003F0E81">
        <w:rPr>
          <w:shd w:val="clear" w:color="auto" w:fill="FFFFFF"/>
          <w:lang w:eastAsia="en-GB"/>
        </w:rPr>
        <w:t xml:space="preserve"> </w:t>
      </w:r>
      <w:proofErr w:type="spellStart"/>
      <w:r w:rsidRPr="003F0E81">
        <w:rPr>
          <w:shd w:val="clear" w:color="auto" w:fill="FFFFFF"/>
          <w:lang w:eastAsia="en-GB"/>
        </w:rPr>
        <w:t>sector</w:t>
      </w:r>
      <w:proofErr w:type="spellEnd"/>
      <w:r w:rsidRPr="003F0E81">
        <w:rPr>
          <w:shd w:val="clear" w:color="auto" w:fill="FFFFFF"/>
          <w:lang w:eastAsia="en-GB"/>
        </w:rPr>
        <w:t xml:space="preserve"> in </w:t>
      </w:r>
      <w:proofErr w:type="spellStart"/>
      <w:r w:rsidRPr="003F0E81">
        <w:rPr>
          <w:shd w:val="clear" w:color="auto" w:fill="FFFFFF"/>
          <w:lang w:eastAsia="en-GB"/>
        </w:rPr>
        <w:t>Europe</w:t>
      </w:r>
      <w:proofErr w:type="spellEnd"/>
      <w:r w:rsidRPr="003F0E81">
        <w:rPr>
          <w:shd w:val="clear" w:color="auto" w:fill="FFFFFF"/>
          <w:lang w:eastAsia="en-GB"/>
        </w:rPr>
        <w:t>. </w:t>
      </w:r>
      <w:r w:rsidRPr="003F0E81">
        <w:rPr>
          <w:i/>
          <w:iCs/>
          <w:shd w:val="clear" w:color="auto" w:fill="FFFFFF"/>
          <w:lang w:eastAsia="en-GB"/>
        </w:rPr>
        <w:t xml:space="preserve">ENCATC </w:t>
      </w:r>
      <w:proofErr w:type="spellStart"/>
      <w:r w:rsidRPr="003F0E81">
        <w:rPr>
          <w:i/>
          <w:iCs/>
          <w:shd w:val="clear" w:color="auto" w:fill="FFFFFF"/>
          <w:lang w:eastAsia="en-GB"/>
        </w:rPr>
        <w:t>Journal</w:t>
      </w:r>
      <w:proofErr w:type="spellEnd"/>
      <w:r w:rsidRPr="003F0E81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3F0E81">
        <w:rPr>
          <w:i/>
          <w:iCs/>
          <w:shd w:val="clear" w:color="auto" w:fill="FFFFFF"/>
          <w:lang w:eastAsia="en-GB"/>
        </w:rPr>
        <w:t>of</w:t>
      </w:r>
      <w:proofErr w:type="spellEnd"/>
      <w:r w:rsidRPr="003F0E81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3F0E81">
        <w:rPr>
          <w:i/>
          <w:iCs/>
          <w:shd w:val="clear" w:color="auto" w:fill="FFFFFF"/>
          <w:lang w:eastAsia="en-GB"/>
        </w:rPr>
        <w:t>cultural</w:t>
      </w:r>
      <w:proofErr w:type="spellEnd"/>
      <w:r w:rsidRPr="003F0E81">
        <w:rPr>
          <w:i/>
          <w:iCs/>
          <w:shd w:val="clear" w:color="auto" w:fill="FFFFFF"/>
          <w:lang w:eastAsia="en-GB"/>
        </w:rPr>
        <w:t xml:space="preserve"> management and </w:t>
      </w:r>
      <w:proofErr w:type="spellStart"/>
      <w:r w:rsidRPr="003F0E81">
        <w:rPr>
          <w:i/>
          <w:iCs/>
          <w:shd w:val="clear" w:color="auto" w:fill="FFFFFF"/>
          <w:lang w:eastAsia="en-GB"/>
        </w:rPr>
        <w:t>policy</w:t>
      </w:r>
      <w:proofErr w:type="spellEnd"/>
      <w:r w:rsidRPr="003F0E81">
        <w:rPr>
          <w:shd w:val="clear" w:color="auto" w:fill="FFFFFF"/>
          <w:lang w:eastAsia="en-GB"/>
        </w:rPr>
        <w:t>, </w:t>
      </w:r>
      <w:r w:rsidRPr="003F0E81">
        <w:rPr>
          <w:i/>
          <w:iCs/>
          <w:shd w:val="clear" w:color="auto" w:fill="FFFFFF"/>
          <w:lang w:eastAsia="en-GB"/>
        </w:rPr>
        <w:t>1</w:t>
      </w:r>
      <w:r w:rsidRPr="003F0E81">
        <w:rPr>
          <w:shd w:val="clear" w:color="auto" w:fill="FFFFFF"/>
          <w:lang w:eastAsia="en-GB"/>
        </w:rPr>
        <w:t>(1), 4-11.</w:t>
      </w:r>
    </w:p>
    <w:p w14:paraId="5B85D184" w14:textId="77777777" w:rsidR="00B326CB" w:rsidRPr="003F0E81" w:rsidRDefault="00B326CB" w:rsidP="00B326CB">
      <w:pPr>
        <w:pStyle w:val="Bezmezer"/>
        <w:numPr>
          <w:ilvl w:val="0"/>
          <w:numId w:val="5"/>
        </w:numPr>
      </w:pPr>
      <w:r>
        <w:t xml:space="preserve">Český statistický úřad a Národní a informační středisko pro kulturu (2020). </w:t>
      </w:r>
      <w:r w:rsidRPr="003F0E81">
        <w:t>Výsledky účtu kultury</w:t>
      </w:r>
      <w:r>
        <w:t xml:space="preserve"> ČR za rok 2018.</w:t>
      </w:r>
    </w:p>
    <w:p w14:paraId="58F49936" w14:textId="77777777" w:rsidR="00B326CB" w:rsidRDefault="005B2914" w:rsidP="00B326CB">
      <w:pPr>
        <w:pStyle w:val="Bezmezer"/>
        <w:numPr>
          <w:ilvl w:val="0"/>
          <w:numId w:val="5"/>
        </w:numPr>
        <w:rPr>
          <w:shd w:val="clear" w:color="auto" w:fill="FFFFFF"/>
          <w:lang w:eastAsia="en-GB"/>
        </w:rPr>
      </w:pPr>
      <w:proofErr w:type="spellStart"/>
      <w:r w:rsidRPr="00B326CB">
        <w:rPr>
          <w:shd w:val="clear" w:color="auto" w:fill="FFFFFF"/>
          <w:lang w:eastAsia="en-GB"/>
        </w:rPr>
        <w:t>Rifkin</w:t>
      </w:r>
      <w:proofErr w:type="spellEnd"/>
      <w:r w:rsidRPr="00B326CB">
        <w:rPr>
          <w:shd w:val="clear" w:color="auto" w:fill="FFFFFF"/>
          <w:lang w:eastAsia="en-GB"/>
        </w:rPr>
        <w:t>, J. (2000). </w:t>
      </w:r>
      <w:proofErr w:type="spellStart"/>
      <w:r w:rsidRPr="00B326CB">
        <w:rPr>
          <w:i/>
          <w:iCs/>
          <w:shd w:val="clear" w:color="auto" w:fill="FFFFFF"/>
          <w:lang w:eastAsia="en-GB"/>
        </w:rPr>
        <w:t>The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age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of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access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: </w:t>
      </w:r>
      <w:proofErr w:type="spellStart"/>
      <w:r w:rsidRPr="00B326CB">
        <w:rPr>
          <w:i/>
          <w:iCs/>
          <w:shd w:val="clear" w:color="auto" w:fill="FFFFFF"/>
          <w:lang w:eastAsia="en-GB"/>
        </w:rPr>
        <w:t>how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the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shift </w:t>
      </w:r>
      <w:proofErr w:type="spellStart"/>
      <w:r w:rsidRPr="00B326CB">
        <w:rPr>
          <w:i/>
          <w:iCs/>
          <w:shd w:val="clear" w:color="auto" w:fill="FFFFFF"/>
          <w:lang w:eastAsia="en-GB"/>
        </w:rPr>
        <w:t>from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ownership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to </w:t>
      </w:r>
      <w:proofErr w:type="spellStart"/>
      <w:r w:rsidRPr="00B326CB">
        <w:rPr>
          <w:i/>
          <w:iCs/>
          <w:shd w:val="clear" w:color="auto" w:fill="FFFFFF"/>
          <w:lang w:eastAsia="en-GB"/>
        </w:rPr>
        <w:t>access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is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transforming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modern</w:t>
      </w:r>
      <w:proofErr w:type="spellEnd"/>
      <w:r w:rsidRPr="00B326CB">
        <w:rPr>
          <w:i/>
          <w:iCs/>
          <w:shd w:val="clear" w:color="auto" w:fill="FFFFFF"/>
          <w:lang w:eastAsia="en-GB"/>
        </w:rPr>
        <w:t xml:space="preserve"> </w:t>
      </w:r>
      <w:proofErr w:type="spellStart"/>
      <w:r w:rsidRPr="00B326CB">
        <w:rPr>
          <w:i/>
          <w:iCs/>
          <w:shd w:val="clear" w:color="auto" w:fill="FFFFFF"/>
          <w:lang w:eastAsia="en-GB"/>
        </w:rPr>
        <w:t>life</w:t>
      </w:r>
      <w:proofErr w:type="spellEnd"/>
      <w:r w:rsidRPr="00B326CB">
        <w:rPr>
          <w:shd w:val="clear" w:color="auto" w:fill="FFFFFF"/>
          <w:lang w:eastAsia="en-GB"/>
        </w:rPr>
        <w:t xml:space="preserve">. London: </w:t>
      </w:r>
      <w:proofErr w:type="spellStart"/>
      <w:r w:rsidRPr="00B326CB">
        <w:rPr>
          <w:shd w:val="clear" w:color="auto" w:fill="FFFFFF"/>
          <w:lang w:eastAsia="en-GB"/>
        </w:rPr>
        <w:t>Penguin</w:t>
      </w:r>
      <w:proofErr w:type="spellEnd"/>
      <w:r w:rsidRPr="00B326CB">
        <w:rPr>
          <w:shd w:val="clear" w:color="auto" w:fill="FFFFFF"/>
          <w:lang w:eastAsia="en-GB"/>
        </w:rPr>
        <w:t>.</w:t>
      </w:r>
    </w:p>
    <w:p w14:paraId="6869DF04" w14:textId="0260DC6B" w:rsidR="005B2914" w:rsidRPr="00B326CB" w:rsidRDefault="005B2914" w:rsidP="00B326CB">
      <w:pPr>
        <w:pStyle w:val="Bezmezer"/>
        <w:numPr>
          <w:ilvl w:val="0"/>
          <w:numId w:val="5"/>
        </w:numPr>
        <w:rPr>
          <w:shd w:val="clear" w:color="auto" w:fill="FFFFFF"/>
          <w:lang w:eastAsia="en-GB"/>
        </w:rPr>
      </w:pPr>
      <w:proofErr w:type="spellStart"/>
      <w:r w:rsidRPr="00B326CB">
        <w:rPr>
          <w:shd w:val="clear" w:color="auto" w:fill="FFFFFF"/>
          <w:lang w:eastAsia="en-GB"/>
        </w:rPr>
        <w:t>Throsby</w:t>
      </w:r>
      <w:proofErr w:type="spellEnd"/>
      <w:r w:rsidRPr="00B326CB">
        <w:rPr>
          <w:shd w:val="clear" w:color="auto" w:fill="FFFFFF"/>
          <w:lang w:eastAsia="en-GB"/>
        </w:rPr>
        <w:t xml:space="preserve">, D. (1994). </w:t>
      </w:r>
      <w:proofErr w:type="spellStart"/>
      <w:r w:rsidRPr="00245CFE">
        <w:rPr>
          <w:i/>
          <w:shd w:val="clear" w:color="auto" w:fill="FFFFFF"/>
          <w:lang w:eastAsia="en-GB"/>
        </w:rPr>
        <w:t>The</w:t>
      </w:r>
      <w:proofErr w:type="spellEnd"/>
      <w:r w:rsidRPr="00245CFE">
        <w:rPr>
          <w:i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/>
          <w:shd w:val="clear" w:color="auto" w:fill="FFFFFF"/>
          <w:lang w:eastAsia="en-GB"/>
        </w:rPr>
        <w:t>production</w:t>
      </w:r>
      <w:proofErr w:type="spellEnd"/>
      <w:r w:rsidRPr="00245CFE">
        <w:rPr>
          <w:i/>
          <w:shd w:val="clear" w:color="auto" w:fill="FFFFFF"/>
          <w:lang w:eastAsia="en-GB"/>
        </w:rPr>
        <w:t xml:space="preserve"> and </w:t>
      </w:r>
      <w:proofErr w:type="spellStart"/>
      <w:r w:rsidRPr="00245CFE">
        <w:rPr>
          <w:i/>
          <w:shd w:val="clear" w:color="auto" w:fill="FFFFFF"/>
          <w:lang w:eastAsia="en-GB"/>
        </w:rPr>
        <w:t>consumption</w:t>
      </w:r>
      <w:proofErr w:type="spellEnd"/>
      <w:r w:rsidRPr="00245CFE">
        <w:rPr>
          <w:i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/>
          <w:shd w:val="clear" w:color="auto" w:fill="FFFFFF"/>
          <w:lang w:eastAsia="en-GB"/>
        </w:rPr>
        <w:t>of</w:t>
      </w:r>
      <w:proofErr w:type="spellEnd"/>
      <w:r w:rsidRPr="00245CFE">
        <w:rPr>
          <w:i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/>
          <w:shd w:val="clear" w:color="auto" w:fill="FFFFFF"/>
          <w:lang w:eastAsia="en-GB"/>
        </w:rPr>
        <w:t>the</w:t>
      </w:r>
      <w:proofErr w:type="spellEnd"/>
      <w:r w:rsidRPr="00245CFE">
        <w:rPr>
          <w:i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/>
          <w:shd w:val="clear" w:color="auto" w:fill="FFFFFF"/>
          <w:lang w:eastAsia="en-GB"/>
        </w:rPr>
        <w:t>arts</w:t>
      </w:r>
      <w:proofErr w:type="spellEnd"/>
      <w:r w:rsidRPr="00245CFE">
        <w:rPr>
          <w:i/>
          <w:shd w:val="clear" w:color="auto" w:fill="FFFFFF"/>
          <w:lang w:eastAsia="en-GB"/>
        </w:rPr>
        <w:t xml:space="preserve">: A </w:t>
      </w:r>
      <w:proofErr w:type="spellStart"/>
      <w:r w:rsidRPr="00245CFE">
        <w:rPr>
          <w:i/>
          <w:shd w:val="clear" w:color="auto" w:fill="FFFFFF"/>
          <w:lang w:eastAsia="en-GB"/>
        </w:rPr>
        <w:t>view</w:t>
      </w:r>
      <w:proofErr w:type="spellEnd"/>
      <w:r w:rsidRPr="00245CFE">
        <w:rPr>
          <w:i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/>
          <w:shd w:val="clear" w:color="auto" w:fill="FFFFFF"/>
          <w:lang w:eastAsia="en-GB"/>
        </w:rPr>
        <w:t>of</w:t>
      </w:r>
      <w:proofErr w:type="spellEnd"/>
      <w:r w:rsidRPr="00245CFE">
        <w:rPr>
          <w:i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/>
          <w:shd w:val="clear" w:color="auto" w:fill="FFFFFF"/>
          <w:lang w:eastAsia="en-GB"/>
        </w:rPr>
        <w:t>cultural</w:t>
      </w:r>
      <w:proofErr w:type="spellEnd"/>
      <w:r w:rsidRPr="00245CFE">
        <w:rPr>
          <w:i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/>
          <w:shd w:val="clear" w:color="auto" w:fill="FFFFFF"/>
          <w:lang w:eastAsia="en-GB"/>
        </w:rPr>
        <w:t>economics</w:t>
      </w:r>
      <w:proofErr w:type="spellEnd"/>
      <w:r w:rsidRPr="00245CFE">
        <w:rPr>
          <w:i/>
          <w:shd w:val="clear" w:color="auto" w:fill="FFFFFF"/>
          <w:lang w:eastAsia="en-GB"/>
        </w:rPr>
        <w:t>.</w:t>
      </w:r>
      <w:r w:rsidRPr="00B326CB">
        <w:rPr>
          <w:shd w:val="clear" w:color="auto" w:fill="FFFFFF"/>
          <w:lang w:eastAsia="en-GB"/>
        </w:rPr>
        <w:t> </w:t>
      </w:r>
      <w:proofErr w:type="spellStart"/>
      <w:r w:rsidRPr="00245CFE">
        <w:rPr>
          <w:iCs/>
          <w:shd w:val="clear" w:color="auto" w:fill="FFFFFF"/>
          <w:lang w:eastAsia="en-GB"/>
        </w:rPr>
        <w:t>Journal</w:t>
      </w:r>
      <w:proofErr w:type="spellEnd"/>
      <w:r w:rsidRPr="00245CFE">
        <w:rPr>
          <w:iCs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Cs/>
          <w:shd w:val="clear" w:color="auto" w:fill="FFFFFF"/>
          <w:lang w:eastAsia="en-GB"/>
        </w:rPr>
        <w:t>of</w:t>
      </w:r>
      <w:proofErr w:type="spellEnd"/>
      <w:r w:rsidRPr="00245CFE">
        <w:rPr>
          <w:iCs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Cs/>
          <w:shd w:val="clear" w:color="auto" w:fill="FFFFFF"/>
          <w:lang w:eastAsia="en-GB"/>
        </w:rPr>
        <w:t>economic</w:t>
      </w:r>
      <w:proofErr w:type="spellEnd"/>
      <w:r w:rsidRPr="00245CFE">
        <w:rPr>
          <w:iCs/>
          <w:shd w:val="clear" w:color="auto" w:fill="FFFFFF"/>
          <w:lang w:eastAsia="en-GB"/>
        </w:rPr>
        <w:t xml:space="preserve"> </w:t>
      </w:r>
      <w:proofErr w:type="spellStart"/>
      <w:r w:rsidRPr="00245CFE">
        <w:rPr>
          <w:iCs/>
          <w:shd w:val="clear" w:color="auto" w:fill="FFFFFF"/>
          <w:lang w:eastAsia="en-GB"/>
        </w:rPr>
        <w:t>literature</w:t>
      </w:r>
      <w:proofErr w:type="spellEnd"/>
      <w:r w:rsidRPr="00245CFE">
        <w:rPr>
          <w:shd w:val="clear" w:color="auto" w:fill="FFFFFF"/>
          <w:lang w:eastAsia="en-GB"/>
        </w:rPr>
        <w:t>,</w:t>
      </w:r>
      <w:r w:rsidRPr="00B326CB">
        <w:rPr>
          <w:shd w:val="clear" w:color="auto" w:fill="FFFFFF"/>
          <w:lang w:eastAsia="en-GB"/>
        </w:rPr>
        <w:t> </w:t>
      </w:r>
      <w:r w:rsidRPr="00B326CB">
        <w:rPr>
          <w:i/>
          <w:iCs/>
          <w:shd w:val="clear" w:color="auto" w:fill="FFFFFF"/>
          <w:lang w:eastAsia="en-GB"/>
        </w:rPr>
        <w:t>32</w:t>
      </w:r>
      <w:r w:rsidRPr="00B326CB">
        <w:rPr>
          <w:shd w:val="clear" w:color="auto" w:fill="FFFFFF"/>
          <w:lang w:eastAsia="en-GB"/>
        </w:rPr>
        <w:t>(1), 1-29.</w:t>
      </w:r>
    </w:p>
    <w:p w14:paraId="5C2EF2C0" w14:textId="711EE18B" w:rsidR="005B2914" w:rsidRPr="003F0E81" w:rsidRDefault="005B2914" w:rsidP="00B326CB">
      <w:pPr>
        <w:pStyle w:val="Bezmezer"/>
      </w:pPr>
      <w:bookmarkStart w:id="0" w:name="_GoBack"/>
      <w:bookmarkEnd w:id="0"/>
    </w:p>
    <w:p w14:paraId="48BF8842" w14:textId="541DDE94" w:rsidR="00776ACE" w:rsidRPr="003F0E81" w:rsidRDefault="00776ACE" w:rsidP="00B326CB">
      <w:pPr>
        <w:pStyle w:val="Bezmezer"/>
      </w:pPr>
    </w:p>
    <w:sectPr w:rsidR="00776ACE" w:rsidRPr="003F0E81" w:rsidSect="004F5908">
      <w:headerReference w:type="default" r:id="rId15"/>
      <w:footerReference w:type="even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1AAF" w14:textId="77777777" w:rsidR="00C55374" w:rsidRDefault="00C55374" w:rsidP="00C50089">
      <w:r>
        <w:separator/>
      </w:r>
    </w:p>
  </w:endnote>
  <w:endnote w:type="continuationSeparator" w:id="0">
    <w:p w14:paraId="3B9D9037" w14:textId="77777777" w:rsidR="00C55374" w:rsidRDefault="00C55374" w:rsidP="00C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178508236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8B6ECDB" w14:textId="2BC230DA" w:rsidR="00C50089" w:rsidRDefault="00C50089" w:rsidP="00237C8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218B3CF" w14:textId="77777777" w:rsidR="00C50089" w:rsidRDefault="00C500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11000648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BDC4B7" w14:textId="6ECDEED0" w:rsidR="00C50089" w:rsidRDefault="00C50089" w:rsidP="00237C8C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45CFE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2FB3B1EE" w14:textId="77777777" w:rsidR="00C50089" w:rsidRDefault="00C500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13BC1" w14:textId="77777777" w:rsidR="00C55374" w:rsidRDefault="00C55374" w:rsidP="00C50089">
      <w:r>
        <w:separator/>
      </w:r>
    </w:p>
  </w:footnote>
  <w:footnote w:type="continuationSeparator" w:id="0">
    <w:p w14:paraId="05118DE0" w14:textId="77777777" w:rsidR="00C55374" w:rsidRDefault="00C55374" w:rsidP="00C50089">
      <w:r>
        <w:continuationSeparator/>
      </w:r>
    </w:p>
  </w:footnote>
  <w:footnote w:id="1">
    <w:p w14:paraId="7E89B9E5" w14:textId="6D22E14E" w:rsidR="00FD4E98" w:rsidRPr="00FD4E98" w:rsidRDefault="00FD4E9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D4E98">
        <w:t>McAndrew, C. 2020. The Art Market 2020. Art Basel and UBS.</w:t>
      </w:r>
    </w:p>
  </w:footnote>
  <w:footnote w:id="2">
    <w:p w14:paraId="09162C44" w14:textId="73BC9C70" w:rsidR="00DA2AA2" w:rsidRPr="00DA2AA2" w:rsidRDefault="00DA2A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2AA2">
        <w:t>Bonet, L., &amp; Donato, F. (2011). The financial crisis and its impact on the current models of governance and management of the cultural sector in Europe. ENCATC Journal of cultural management and policy, 1(1), 4-11.</w:t>
      </w:r>
    </w:p>
  </w:footnote>
  <w:footnote w:id="3">
    <w:p w14:paraId="0ABE6292" w14:textId="728846D6" w:rsidR="00DA2AA2" w:rsidRPr="00DA2AA2" w:rsidRDefault="00DA2A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2AA2">
        <w:t>Throsby, D. (1994). The production and consumption of the arts: A view of cultural economics. Journal of economic literature, 32(1), 1-29.</w:t>
      </w:r>
    </w:p>
  </w:footnote>
  <w:footnote w:id="4">
    <w:p w14:paraId="139C8049" w14:textId="2D326601" w:rsidR="00DA2AA2" w:rsidRPr="00DA2AA2" w:rsidRDefault="00DA2A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2AA2">
        <w:t>Rifkin, J. (2000). The age of access: how the shift from ownership to access is transforming modern life. London: Penguin.</w:t>
      </w:r>
    </w:p>
  </w:footnote>
  <w:footnote w:id="5">
    <w:p w14:paraId="2515276F" w14:textId="1BACB447" w:rsidR="00DA2AA2" w:rsidRPr="00DA2AA2" w:rsidRDefault="00DA2A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2AA2">
        <w:t>Bonet, L., &amp; Donato, F. (2011). The financial crisis and its impact on the current models of governance and management of the cultural sector in Europe. ENCATC Journal of cultural management and policy, 1(1), 4-11.</w:t>
      </w:r>
    </w:p>
  </w:footnote>
  <w:footnote w:id="6">
    <w:p w14:paraId="6985BFC7" w14:textId="2B21623D" w:rsidR="00DA2AA2" w:rsidRPr="00DA2AA2" w:rsidRDefault="00DA2A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Ibid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B9016" w14:textId="682B9AAA" w:rsidR="00C50089" w:rsidRPr="00C50089" w:rsidRDefault="00C50089">
    <w:pPr>
      <w:pStyle w:val="Zhlav"/>
      <w:rPr>
        <w:color w:val="2F5496" w:themeColor="accent1" w:themeShade="BF"/>
      </w:rPr>
    </w:pPr>
    <w:r w:rsidRPr="00C50089">
      <w:rPr>
        <w:color w:val="2F5496" w:themeColor="accent1" w:themeShade="BF"/>
      </w:rPr>
      <w:t>Závěrečná zpráva za oblast výtvarného umění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E03"/>
    <w:multiLevelType w:val="hybridMultilevel"/>
    <w:tmpl w:val="F592A5A0"/>
    <w:lvl w:ilvl="0" w:tplc="18C0F5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4319D"/>
    <w:multiLevelType w:val="hybridMultilevel"/>
    <w:tmpl w:val="423EC2AC"/>
    <w:lvl w:ilvl="0" w:tplc="62387920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61EA7"/>
    <w:multiLevelType w:val="hybridMultilevel"/>
    <w:tmpl w:val="42C6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D4FA9"/>
    <w:multiLevelType w:val="hybridMultilevel"/>
    <w:tmpl w:val="DCF41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83168"/>
    <w:multiLevelType w:val="hybridMultilevel"/>
    <w:tmpl w:val="64EAC870"/>
    <w:lvl w:ilvl="0" w:tplc="A306CB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11"/>
    <w:rsid w:val="00046D1F"/>
    <w:rsid w:val="00091FAD"/>
    <w:rsid w:val="000A7481"/>
    <w:rsid w:val="001351C5"/>
    <w:rsid w:val="00142C99"/>
    <w:rsid w:val="00175DB7"/>
    <w:rsid w:val="00175FC5"/>
    <w:rsid w:val="0018522D"/>
    <w:rsid w:val="001C587E"/>
    <w:rsid w:val="001D5F10"/>
    <w:rsid w:val="001D60E4"/>
    <w:rsid w:val="0020576B"/>
    <w:rsid w:val="00227611"/>
    <w:rsid w:val="00244DF2"/>
    <w:rsid w:val="00245CFE"/>
    <w:rsid w:val="00292B0C"/>
    <w:rsid w:val="002D27E3"/>
    <w:rsid w:val="002E713D"/>
    <w:rsid w:val="002F2418"/>
    <w:rsid w:val="003070B0"/>
    <w:rsid w:val="0033076F"/>
    <w:rsid w:val="003327A2"/>
    <w:rsid w:val="0039607D"/>
    <w:rsid w:val="003F0E81"/>
    <w:rsid w:val="003F1B83"/>
    <w:rsid w:val="00486F6A"/>
    <w:rsid w:val="00495971"/>
    <w:rsid w:val="004A0E11"/>
    <w:rsid w:val="004B68A7"/>
    <w:rsid w:val="004D0F34"/>
    <w:rsid w:val="004F2C69"/>
    <w:rsid w:val="004F5908"/>
    <w:rsid w:val="004F73A4"/>
    <w:rsid w:val="00536F45"/>
    <w:rsid w:val="0053701F"/>
    <w:rsid w:val="005B2914"/>
    <w:rsid w:val="005D7251"/>
    <w:rsid w:val="005F6268"/>
    <w:rsid w:val="00610E46"/>
    <w:rsid w:val="0061627B"/>
    <w:rsid w:val="00655B32"/>
    <w:rsid w:val="00664067"/>
    <w:rsid w:val="006659B7"/>
    <w:rsid w:val="006878F0"/>
    <w:rsid w:val="00697B72"/>
    <w:rsid w:val="00746CC8"/>
    <w:rsid w:val="00762D55"/>
    <w:rsid w:val="007661B2"/>
    <w:rsid w:val="00775FE1"/>
    <w:rsid w:val="00776ACE"/>
    <w:rsid w:val="007923DB"/>
    <w:rsid w:val="007A7A41"/>
    <w:rsid w:val="007B09F4"/>
    <w:rsid w:val="007B614B"/>
    <w:rsid w:val="007B6604"/>
    <w:rsid w:val="007C4805"/>
    <w:rsid w:val="007E14A6"/>
    <w:rsid w:val="007F645F"/>
    <w:rsid w:val="008050B5"/>
    <w:rsid w:val="00832872"/>
    <w:rsid w:val="008841D0"/>
    <w:rsid w:val="0095072B"/>
    <w:rsid w:val="00955203"/>
    <w:rsid w:val="00962605"/>
    <w:rsid w:val="009D27C6"/>
    <w:rsid w:val="00A13C75"/>
    <w:rsid w:val="00A30F3B"/>
    <w:rsid w:val="00AA08E6"/>
    <w:rsid w:val="00AD22EE"/>
    <w:rsid w:val="00AD5E25"/>
    <w:rsid w:val="00AF77DC"/>
    <w:rsid w:val="00B326CB"/>
    <w:rsid w:val="00B47B9E"/>
    <w:rsid w:val="00C07253"/>
    <w:rsid w:val="00C105F5"/>
    <w:rsid w:val="00C50089"/>
    <w:rsid w:val="00C55374"/>
    <w:rsid w:val="00C86C3F"/>
    <w:rsid w:val="00C93088"/>
    <w:rsid w:val="00CE644B"/>
    <w:rsid w:val="00D02AC5"/>
    <w:rsid w:val="00D07E83"/>
    <w:rsid w:val="00D27484"/>
    <w:rsid w:val="00D36EDD"/>
    <w:rsid w:val="00D37BB7"/>
    <w:rsid w:val="00D718B0"/>
    <w:rsid w:val="00D76845"/>
    <w:rsid w:val="00DA2AA2"/>
    <w:rsid w:val="00DE5B4C"/>
    <w:rsid w:val="00E10FF0"/>
    <w:rsid w:val="00E673A7"/>
    <w:rsid w:val="00EB4CCF"/>
    <w:rsid w:val="00EB7C08"/>
    <w:rsid w:val="00EF29FB"/>
    <w:rsid w:val="00F32E99"/>
    <w:rsid w:val="00F35DDF"/>
    <w:rsid w:val="00F37548"/>
    <w:rsid w:val="00F5065F"/>
    <w:rsid w:val="00F53217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B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50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50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Bibliografie">
    <w:name w:val="Bibliography"/>
    <w:basedOn w:val="Normln"/>
    <w:next w:val="Normln"/>
    <w:uiPriority w:val="37"/>
    <w:unhideWhenUsed/>
    <w:rsid w:val="008050B5"/>
  </w:style>
  <w:style w:type="paragraph" w:styleId="Odstavecseseznamem">
    <w:name w:val="List Paragraph"/>
    <w:basedOn w:val="Normln"/>
    <w:uiPriority w:val="34"/>
    <w:qFormat/>
    <w:rsid w:val="002E713D"/>
    <w:pPr>
      <w:ind w:left="720"/>
      <w:contextualSpacing/>
    </w:pPr>
  </w:style>
  <w:style w:type="table" w:styleId="Mkatabulky">
    <w:name w:val="Table Grid"/>
    <w:basedOn w:val="Normlntabulka"/>
    <w:uiPriority w:val="39"/>
    <w:rsid w:val="00D2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50089"/>
    <w:pPr>
      <w:spacing w:after="120" w:line="360" w:lineRule="auto"/>
      <w:jc w:val="both"/>
    </w:pPr>
  </w:style>
  <w:style w:type="paragraph" w:styleId="Zhlav">
    <w:name w:val="header"/>
    <w:basedOn w:val="Normln"/>
    <w:link w:val="ZhlavChar"/>
    <w:uiPriority w:val="99"/>
    <w:unhideWhenUsed/>
    <w:rsid w:val="00C5008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089"/>
  </w:style>
  <w:style w:type="paragraph" w:styleId="Zpat">
    <w:name w:val="footer"/>
    <w:basedOn w:val="Normln"/>
    <w:link w:val="ZpatChar"/>
    <w:uiPriority w:val="99"/>
    <w:unhideWhenUsed/>
    <w:rsid w:val="00C5008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089"/>
  </w:style>
  <w:style w:type="character" w:styleId="slostrnky">
    <w:name w:val="page number"/>
    <w:basedOn w:val="Standardnpsmoodstavce"/>
    <w:uiPriority w:val="99"/>
    <w:semiHidden/>
    <w:unhideWhenUsed/>
    <w:rsid w:val="00C50089"/>
  </w:style>
  <w:style w:type="paragraph" w:styleId="Textbubliny">
    <w:name w:val="Balloon Text"/>
    <w:basedOn w:val="Normln"/>
    <w:link w:val="TextbublinyChar"/>
    <w:uiPriority w:val="99"/>
    <w:semiHidden/>
    <w:unhideWhenUsed/>
    <w:rsid w:val="00FD4E9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E98"/>
    <w:rPr>
      <w:rFonts w:ascii="Times New Roman" w:hAnsi="Times New Roman" w:cs="Times New Roman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E9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E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E98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955203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50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50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Bibliografie">
    <w:name w:val="Bibliography"/>
    <w:basedOn w:val="Normln"/>
    <w:next w:val="Normln"/>
    <w:uiPriority w:val="37"/>
    <w:unhideWhenUsed/>
    <w:rsid w:val="008050B5"/>
  </w:style>
  <w:style w:type="paragraph" w:styleId="Odstavecseseznamem">
    <w:name w:val="List Paragraph"/>
    <w:basedOn w:val="Normln"/>
    <w:uiPriority w:val="34"/>
    <w:qFormat/>
    <w:rsid w:val="002E713D"/>
    <w:pPr>
      <w:ind w:left="720"/>
      <w:contextualSpacing/>
    </w:pPr>
  </w:style>
  <w:style w:type="table" w:styleId="Mkatabulky">
    <w:name w:val="Table Grid"/>
    <w:basedOn w:val="Normlntabulka"/>
    <w:uiPriority w:val="39"/>
    <w:rsid w:val="00D2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50089"/>
    <w:pPr>
      <w:spacing w:after="120" w:line="360" w:lineRule="auto"/>
      <w:jc w:val="both"/>
    </w:pPr>
  </w:style>
  <w:style w:type="paragraph" w:styleId="Zhlav">
    <w:name w:val="header"/>
    <w:basedOn w:val="Normln"/>
    <w:link w:val="ZhlavChar"/>
    <w:uiPriority w:val="99"/>
    <w:unhideWhenUsed/>
    <w:rsid w:val="00C5008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089"/>
  </w:style>
  <w:style w:type="paragraph" w:styleId="Zpat">
    <w:name w:val="footer"/>
    <w:basedOn w:val="Normln"/>
    <w:link w:val="ZpatChar"/>
    <w:uiPriority w:val="99"/>
    <w:unhideWhenUsed/>
    <w:rsid w:val="00C5008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089"/>
  </w:style>
  <w:style w:type="character" w:styleId="slostrnky">
    <w:name w:val="page number"/>
    <w:basedOn w:val="Standardnpsmoodstavce"/>
    <w:uiPriority w:val="99"/>
    <w:semiHidden/>
    <w:unhideWhenUsed/>
    <w:rsid w:val="00C50089"/>
  </w:style>
  <w:style w:type="paragraph" w:styleId="Textbubliny">
    <w:name w:val="Balloon Text"/>
    <w:basedOn w:val="Normln"/>
    <w:link w:val="TextbublinyChar"/>
    <w:uiPriority w:val="99"/>
    <w:semiHidden/>
    <w:unhideWhenUsed/>
    <w:rsid w:val="00FD4E9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E98"/>
    <w:rPr>
      <w:rFonts w:ascii="Times New Roman" w:hAnsi="Times New Roman" w:cs="Times New Roman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E9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E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E98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95520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marek\Downloads\VY&#769;TVARNE&#769;%20UME&#780;NI&#769;_ORG_DATA%20PRO%20M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marek\Downloads\Working%20-%20Dopady%20koronaviru%20na%20kulturni&#769;%20sektor%20-%20tr&#780;eti&#769;%20sbe&#780;r%20dat%20(Odpove&#780;di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FC523AE-4667-A74A-B8A3-224DD535BE73}" type="VALUE">
                      <a:rPr lang="en-US"/>
                      <a:pPr/>
                      <a:t>[VALUE]</a:t>
                    </a:fld>
                    <a:r>
                      <a:rPr lang="en-US"/>
                      <a:t> 000 Kč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447-064D-B2E8-FB6DE6718B0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D7D377B-3D8B-F249-A794-69D9D3B408B9}" type="VALUE">
                      <a:rPr lang="en-US"/>
                      <a:pPr/>
                      <a:t>[VALUE]</a:t>
                    </a:fld>
                    <a:r>
                      <a:rPr lang="en-US"/>
                      <a:t> 000 Kč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447-064D-B2E8-FB6DE6718B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Sheet2!$G$33:$G$34</c:f>
              <c:strCache>
                <c:ptCount val="2"/>
                <c:pt idx="0">
                  <c:v>Průměrné měsíční náklady v roce 2019</c:v>
                </c:pt>
                <c:pt idx="1">
                  <c:v>Průměrné měsíční náklady v březnu 2020</c:v>
                </c:pt>
              </c:strCache>
            </c:strRef>
          </c:cat>
          <c:val>
            <c:numRef>
              <c:f>Sheet2!$H$33:$H$34</c:f>
              <c:numCache>
                <c:formatCode>#,##0</c:formatCode>
                <c:ptCount val="2"/>
                <c:pt idx="0">
                  <c:v>538062</c:v>
                </c:pt>
                <c:pt idx="1">
                  <c:v>716372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47-064D-B2E8-FB6DE6718B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587648"/>
        <c:axId val="214605824"/>
      </c:barChart>
      <c:catAx>
        <c:axId val="21458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4605824"/>
        <c:crosses val="autoZero"/>
        <c:auto val="1"/>
        <c:lblAlgn val="ctr"/>
        <c:lblOffset val="100"/>
        <c:noMultiLvlLbl val="0"/>
      </c:catAx>
      <c:valAx>
        <c:axId val="214605824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214587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'Odpovědi formuláře 1'!$F$351</c:f>
              <c:strCache>
                <c:ptCount val="1"/>
                <c:pt idx="0">
                  <c:v>Komerční/ziskové subjekty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'Odpovědi formuláře 1'!$E$352:$E$354</c:f>
              <c:strCache>
                <c:ptCount val="3"/>
                <c:pt idx="0">
                  <c:v>První sběr (březen)</c:v>
                </c:pt>
                <c:pt idx="1">
                  <c:v>Druhý sběr (duben)</c:v>
                </c:pt>
                <c:pt idx="2">
                  <c:v>Třetí sběr (květen)</c:v>
                </c:pt>
              </c:strCache>
            </c:strRef>
          </c:cat>
          <c:val>
            <c:numRef>
              <c:f>'Odpovědi formuláře 1'!$F$352:$F$354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E9-7543-8256-2EEA18463ACB}"/>
            </c:ext>
          </c:extLst>
        </c:ser>
        <c:ser>
          <c:idx val="1"/>
          <c:order val="1"/>
          <c:tx>
            <c:strRef>
              <c:f>'Odpovědi formuláře 1'!$G$351</c:f>
              <c:strCache>
                <c:ptCount val="1"/>
                <c:pt idx="0">
                  <c:v>Neziskové subjekty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'Odpovědi formuláře 1'!$E$352:$E$354</c:f>
              <c:strCache>
                <c:ptCount val="3"/>
                <c:pt idx="0">
                  <c:v>První sběr (březen)</c:v>
                </c:pt>
                <c:pt idx="1">
                  <c:v>Druhý sběr (duben)</c:v>
                </c:pt>
                <c:pt idx="2">
                  <c:v>Třetí sběr (květen)</c:v>
                </c:pt>
              </c:strCache>
            </c:strRef>
          </c:cat>
          <c:val>
            <c:numRef>
              <c:f>'Odpovědi formuláře 1'!$G$352:$G$354</c:f>
              <c:numCache>
                <c:formatCode>General</c:formatCode>
                <c:ptCount val="3"/>
                <c:pt idx="0">
                  <c:v>66</c:v>
                </c:pt>
                <c:pt idx="1">
                  <c:v>39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E9-7543-8256-2EEA18463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628992"/>
        <c:axId val="214835584"/>
      </c:barChart>
      <c:catAx>
        <c:axId val="21462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4835584"/>
        <c:crosses val="autoZero"/>
        <c:auto val="1"/>
        <c:lblAlgn val="ctr"/>
        <c:lblOffset val="100"/>
        <c:noMultiLvlLbl val="0"/>
      </c:catAx>
      <c:valAx>
        <c:axId val="2148355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462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75E-2341-AF68-3072B3FE07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75E-2341-AF68-3072B3FE07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75E-2341-AF68-3072B3FE07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75E-2341-AF68-3072B3FE079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75E-2341-AF68-3072B3FE079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75E-2341-AF68-3072B3FE07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Možnost změny obsahu již schválených grantů </c:v>
                </c:pt>
                <c:pt idx="1">
                  <c:v>Spuštění programu dotací na podporu online formátů v oblasti kultury a umění</c:v>
                </c:pt>
                <c:pt idx="2">
                  <c:v>Příspěvek na mzdy</c:v>
                </c:pt>
                <c:pt idx="3">
                  <c:v>Odpuštění záloh na sociální a zdravotní pojištění do konce roku 2020</c:v>
                </c:pt>
                <c:pt idx="4">
                  <c:v>Kompenzaci případného schodku rozpočtu organizace pro rok 2020</c:v>
                </c:pt>
                <c:pt idx="5">
                  <c:v>Opakování paušální podpory 25 000 Kč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0.4</c:v>
                </c:pt>
                <c:pt idx="1">
                  <c:v>0.38</c:v>
                </c:pt>
                <c:pt idx="2">
                  <c:v>0.03</c:v>
                </c:pt>
                <c:pt idx="3">
                  <c:v>0.1</c:v>
                </c:pt>
                <c:pt idx="4">
                  <c:v>0.02</c:v>
                </c:pt>
                <c:pt idx="5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75E-2341-AF68-3072B3FE07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788928229608893E-2"/>
          <c:y val="0.74805507362427159"/>
          <c:w val="0.93360484301878377"/>
          <c:h val="0.237166540623100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Kno20</b:Tag>
    <b:SourceType>InternetSite</b:SourceType>
    <b:Guid>{66E5289C-5BA9-5D4F-9C97-333080EF622E}</b:Guid>
    <b:Title>Entrepreneurialism leaves museums more vulnerable to Covid-19 crisis, research finds</b:Title>
    <b:Year>2020</b:Year>
    <b:Author>
      <b:Author>
        <b:NameList>
          <b:Person>
            <b:Last>Knott</b:Last>
            <b:First>J.</b:First>
          </b:Person>
        </b:NameList>
      </b:Author>
    </b:Author>
    <b:InternetSiteTitle>Museums Journal</b:InternetSiteTitle>
    <b:URL>https://www.museumsassociation.org/museums-journal/news/2020/06/entrepreneurialism-of-english-cultural-organisations-leaves-them-more-vulnerable-to-covid-19-crisis-research-finds/#</b:URL>
    <b:Month>June</b:Month>
    <b:Day>10</b:Day>
    <b:RefOrder>1</b:RefOrder>
  </b:Source>
</b:Sources>
</file>

<file path=customXml/itemProps1.xml><?xml version="1.0" encoding="utf-8"?>
<ds:datastoreItem xmlns:ds="http://schemas.openxmlformats.org/officeDocument/2006/customXml" ds:itemID="{F03DF4D1-AA1B-4C16-8022-B4798F69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2373</Words>
  <Characters>14001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Prokůpek</dc:creator>
  <cp:lastModifiedBy>Lenovo</cp:lastModifiedBy>
  <cp:revision>5</cp:revision>
  <dcterms:created xsi:type="dcterms:W3CDTF">2020-10-20T12:45:00Z</dcterms:created>
  <dcterms:modified xsi:type="dcterms:W3CDTF">2020-10-20T13:28:00Z</dcterms:modified>
</cp:coreProperties>
</file>