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:rsidP="7FE4E814" wp14:textId="77777777" w14:paraId="11E3B18C">
      <w:pPr>
        <w:pStyle w:val="Normal.0"/>
        <w:rPr>
          <w:rStyle w:val="Žádný"/>
          <w:rFonts w:ascii="Roboto" w:hAnsi="Roboto" w:eastAsia="Roboto" w:cs="Roboto"/>
          <w:b w:val="1"/>
          <w:bCs w:val="1"/>
          <w:noProof w:val="0"/>
          <w:color w:val="000000" w:themeColor="text1" w:themeTint="FF" w:themeShade="FF"/>
          <w:sz w:val="20"/>
          <w:szCs w:val="20"/>
          <w:lang w:val="cs-CZ"/>
        </w:rPr>
      </w:pPr>
    </w:p>
    <w:p w:rsidR="00F56F09" w:rsidP="7FE4E814" w:rsidRDefault="00F56F09" w14:paraId="5E9512B5" w14:textId="72F13E42">
      <w:pPr>
        <w:pStyle w:val="Text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jc w:val="right"/>
        <w:rPr>
          <w:rFonts w:ascii="Roboto" w:hAnsi="Roboto" w:eastAsia="Roboto" w:cs="Roboto"/>
          <w:noProof w:val="0"/>
          <w:sz w:val="20"/>
          <w:szCs w:val="20"/>
          <w:lang w:val="cs-CZ"/>
        </w:rPr>
      </w:pPr>
      <w:r w:rsidRPr="1AAF1370" w:rsidR="2FD447E3">
        <w:rPr>
          <w:rFonts w:ascii="Roboto" w:hAnsi="Roboto" w:eastAsia="Roboto" w:cs="Roboto"/>
          <w:noProof w:val="0"/>
          <w:sz w:val="20"/>
          <w:szCs w:val="20"/>
          <w:lang w:val="cs-CZ"/>
        </w:rPr>
        <w:t>1</w:t>
      </w:r>
      <w:r w:rsidRPr="1AAF1370" w:rsidR="77C1088A">
        <w:rPr>
          <w:rFonts w:ascii="Roboto" w:hAnsi="Roboto" w:eastAsia="Roboto" w:cs="Roboto"/>
          <w:noProof w:val="0"/>
          <w:sz w:val="20"/>
          <w:szCs w:val="20"/>
          <w:lang w:val="cs-CZ"/>
        </w:rPr>
        <w:t>4</w:t>
      </w:r>
      <w:r w:rsidRPr="1AAF1370" w:rsidR="2FD447E3">
        <w:rPr>
          <w:rFonts w:ascii="Roboto" w:hAnsi="Roboto" w:eastAsia="Roboto" w:cs="Roboto"/>
          <w:noProof w:val="0"/>
          <w:sz w:val="20"/>
          <w:szCs w:val="20"/>
          <w:lang w:val="cs-CZ"/>
        </w:rPr>
        <w:t>. května 2026</w:t>
      </w:r>
    </w:p>
    <w:p w:rsidR="41B9CB30" w:rsidP="7FE4E814" w:rsidRDefault="41B9CB30" w14:paraId="7160932E" w14:textId="79CC9E79">
      <w:pPr>
        <w:pStyle w:val="Normal.0"/>
        <w:spacing w:before="120" w:beforeAutospacing="off" w:after="120" w:afterAutospacing="off" w:line="288" w:lineRule="auto"/>
        <w:jc w:val="right"/>
        <w:rPr>
          <w:rStyle w:val="Žádný"/>
          <w:rFonts w:ascii="Roboto" w:hAnsi="Roboto" w:eastAsia="Roboto" w:cs="Roboto"/>
          <w:noProof w:val="0"/>
          <w:sz w:val="20"/>
          <w:szCs w:val="20"/>
          <w:lang w:val="cs-CZ"/>
        </w:rPr>
      </w:pPr>
    </w:p>
    <w:p w:rsidR="7FE4E814" w:rsidP="1AAF1370" w:rsidRDefault="7FE4E814" w14:paraId="592EDAA3" w14:textId="5A538F0E">
      <w:pPr>
        <w:spacing w:before="120" w:beforeAutospacing="off" w:after="120" w:afterAutospacing="off" w:line="288" w:lineRule="auto"/>
        <w:ind w:left="0"/>
        <w:jc w:val="both"/>
        <w:rPr>
          <w:rFonts w:ascii="Roboto" w:hAnsi="Roboto" w:eastAsia="Roboto" w:cs="Roboto"/>
          <w:b w:val="1"/>
          <w:bCs w:val="1"/>
          <w:i w:val="0"/>
          <w:iCs w:val="0"/>
          <w:noProof w:val="0"/>
          <w:color w:val="auto"/>
          <w:sz w:val="24"/>
          <w:szCs w:val="24"/>
          <w:lang w:val="cs-CZ"/>
        </w:rPr>
      </w:pPr>
      <w:r w:rsidRPr="1AAF1370" w:rsidR="78071E60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auto"/>
          <w:sz w:val="24"/>
          <w:szCs w:val="24"/>
          <w:lang w:val="cs-CZ"/>
        </w:rPr>
        <w:t>Tržby v kultuře v roce 2024 dosáhly 320 miliard</w:t>
      </w:r>
    </w:p>
    <w:p w:rsidR="7FE4E814" w:rsidP="1AAF1370" w:rsidRDefault="7FE4E814" w14:paraId="2DE4B61C" w14:textId="29C6C03D">
      <w:pPr>
        <w:spacing w:before="120" w:beforeAutospacing="off" w:after="120" w:afterAutospacing="off" w:line="288" w:lineRule="auto"/>
        <w:ind w:left="0" w:firstLine="708"/>
        <w:jc w:val="both"/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AF1370" w:rsidR="3CCFEA5B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Tržby za vlastní výkony v oblasti kultury v roce 2024 meziročně vzrostly o 12 %</w:t>
      </w:r>
      <w:r w:rsidRPr="1AAF1370" w:rsidR="2696EE24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1AAF1370" w:rsidR="3CCFEA5B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na 320 miliard korun, což představovalo 84 % z celkových příjmů v tomto odvětví české ekonomiky. Polovina z tržeb připadala na subjekty v kreativním sektoru, zahrnujícím reklamu, architekturu</w:t>
      </w:r>
      <w:r>
        <w:br/>
      </w:r>
      <w:r w:rsidRPr="1AAF1370" w:rsidR="3CCFEA5B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a design.  </w:t>
      </w:r>
    </w:p>
    <w:p w:rsidR="7FE4E814" w:rsidP="1AAF1370" w:rsidRDefault="7FE4E814" w14:paraId="3C6D2D51" w14:textId="59FAFC7E">
      <w:pPr>
        <w:spacing w:before="120" w:beforeAutospacing="off" w:after="120" w:afterAutospacing="off" w:line="288" w:lineRule="auto"/>
        <w:ind w:left="0" w:firstLine="708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Celkové příjmy subjektů s převažující činností v kultuře vzrostly v roce 2024 meziročně o 9,9 % na 380 mld. Kč. Provozní a investiční dotace se na nich podílely z 9,3 % v porovnání s 10,3 % </w:t>
      </w: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v roce předchozím. V absolutním vyjádření to v obou letech představovalo 32 mld. Kč.</w:t>
      </w:r>
    </w:p>
    <w:p w:rsidR="7FE4E814" w:rsidP="1AAF1370" w:rsidRDefault="7FE4E814" w14:paraId="50B06D7F" w14:textId="74A28158">
      <w:pPr>
        <w:spacing w:before="120" w:beforeAutospacing="off" w:after="120" w:afterAutospacing="off" w:line="288" w:lineRule="auto"/>
        <w:ind w:left="0" w:firstLine="708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84 % z celkových příjmů subjektů v kulturních odvětvích tvořily tržby za vlastní výkony, které</w:t>
      </w:r>
      <w:r>
        <w:br/>
      </w: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v roce 2024 dosáhly 319,7 mld. Kč. Kreativní sektor, zahrnující oblasti jako je reklama, architektura</w:t>
      </w:r>
      <w:r>
        <w:br/>
      </w: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a design, vytvářel polovinu (51 %) z tržeb za vlastní výkony.  Audiovizuální </w:t>
      </w: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a mediální sektor, který pokrývá oblasti knih a tisku, filmu a videa, rozhlasu a TV nebo také herní průmysl, se na nich podílel přibližně z jedné třetiny. Zbylých 15 % připadalo na </w:t>
      </w: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tradiční </w:t>
      </w: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a</w:t>
      </w: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umělecký sektor, zahrnující zejména umělecké a scénické aktivity a oblast kulturního dědictví.</w:t>
      </w:r>
    </w:p>
    <w:p w:rsidR="7FE4E814" w:rsidP="1AAF1370" w:rsidRDefault="7FE4E814" w14:paraId="2FE23B5A" w14:textId="60C89FA6">
      <w:pPr>
        <w:pStyle w:val="Normal"/>
        <w:spacing w:before="120" w:beforeAutospacing="off" w:after="120" w:afterAutospacing="off" w:line="288" w:lineRule="auto"/>
        <w:ind w:left="0" w:firstLine="708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Míra příjmové soběstačnosti, tedy podíl tržeb za vlastní výkony na celkových příjmech, činila</w:t>
      </w:r>
      <w:r>
        <w:br/>
      </w: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v roce 2024 v kulturních odvětvích 84 %. Nejnižší byla v oblastech kulturního dědictví (47 %)</w:t>
      </w:r>
      <w:r>
        <w:br/>
      </w: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a scénického umění (38 %), které jsou významně závislé na provozních dotacích z veřejných rozpočtů.</w:t>
      </w:r>
    </w:p>
    <w:p w:rsidR="7FE4E814" w:rsidP="1AAF1370" w:rsidRDefault="7FE4E814" w14:paraId="47914D82" w14:textId="5A7D4027">
      <w:pPr>
        <w:pStyle w:val="Normal"/>
        <w:spacing w:before="120" w:beforeAutospacing="off" w:after="120" w:afterAutospacing="off" w:line="288" w:lineRule="auto"/>
        <w:ind w:left="0" w:firstLine="708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Většina veřejných výdajů směřuje do tradičního a uměleckého sektoru. Veřejný sektor tím garantuje širokou dostupnost veřejných kulturních služeb v podobě divadelních představení, zpřístupňování památek nebo prezentace uměleckých děl. Celkové výdaje z veřejných rozpočtů na kulturu v roce 2024 dosáhly 55 mld. Kč. Data nadále ukazují na vysokou míru decentralizace financování kultury</w:t>
      </w:r>
      <w:r w:rsidRPr="1AAF1370" w:rsidR="3CCFEA5B">
        <w:rPr>
          <w:rFonts w:ascii="Roboto" w:hAnsi="Roboto" w:eastAsia="Roboto" w:cs="Roboto"/>
          <w:b w:val="0"/>
          <w:bCs w:val="0"/>
          <w:i w:val="1"/>
          <w:iCs w:val="1"/>
          <w:noProof w:val="0"/>
          <w:color w:val="000000" w:themeColor="text1" w:themeTint="FF" w:themeShade="FF"/>
          <w:sz w:val="20"/>
          <w:szCs w:val="20"/>
          <w:lang w:val="cs-CZ"/>
        </w:rPr>
        <w:t>. „Veřejné kulturní služby zabezpečovaly v roce 2024 v největším finančním objemu obce, a to 48 procenty, následované kraji s 26 procenty, zatímco státní rozpočet se na nich podílel z 22 procent,“</w:t>
      </w: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upřesňuje Bohuslav Vondruška z Národního institutu pro kulturu. </w:t>
      </w:r>
    </w:p>
    <w:p w:rsidR="7FE4E814" w:rsidP="1AAF1370" w:rsidRDefault="7FE4E814" w14:paraId="6DD4CBE8" w14:textId="724709C1">
      <w:pPr>
        <w:pStyle w:val="Normal"/>
        <w:spacing w:before="120" w:beforeAutospacing="off" w:after="120" w:afterAutospacing="off" w:line="288" w:lineRule="auto"/>
        <w:ind w:left="0" w:firstLine="708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Přepočtený počet zaměstnanců v subjektech s převažující činností v oblasti kultury vzrostl</w:t>
      </w:r>
      <w:r>
        <w:br/>
      </w: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od covidového poklesu v roce 2020 do roku 2024 o 7 tisíc na 87 tisíc. Průměrná hrubá měsíční mzda</w:t>
      </w:r>
      <w:r>
        <w:br/>
      </w: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v roce 2024 v kulturních odvětvích činila 40 602 Kč, tedy 88 % průměrné mzdy v Česku. Tento podíl byl nižší než v roce 2020, kdy průměrná mzda v kultuře dosahovala 96 % tehdejší průměrné mzdy v celé ekonomice. </w:t>
      </w:r>
      <w:r w:rsidRPr="1AAF1370" w:rsidR="3CCFEA5B">
        <w:rPr>
          <w:rFonts w:ascii="Roboto" w:hAnsi="Roboto" w:eastAsia="Roboto" w:cs="Roboto"/>
          <w:b w:val="0"/>
          <w:bCs w:val="0"/>
          <w:i w:val="1"/>
          <w:iCs w:val="1"/>
          <w:noProof w:val="0"/>
          <w:color w:val="000000" w:themeColor="text1" w:themeTint="FF" w:themeShade="FF"/>
          <w:sz w:val="20"/>
          <w:szCs w:val="20"/>
          <w:lang w:val="cs-CZ"/>
        </w:rPr>
        <w:t xml:space="preserve">„Zaměstnanci v kulturních odvětvích v roce 2024 tvořili 2,2 procenta z celkového počtu zaměstnanců v Česku a 40 procent z nich pak bylo zaměstnáno </w:t>
      </w:r>
      <w:r w:rsidRPr="1AAF1370" w:rsidR="3CCFEA5B">
        <w:rPr>
          <w:rFonts w:ascii="Roboto" w:hAnsi="Roboto" w:eastAsia="Roboto" w:cs="Roboto"/>
          <w:b w:val="0"/>
          <w:bCs w:val="0"/>
          <w:i w:val="1"/>
          <w:iCs w:val="1"/>
          <w:noProof w:val="0"/>
          <w:color w:val="000000" w:themeColor="text1" w:themeTint="FF" w:themeShade="FF"/>
          <w:sz w:val="20"/>
          <w:szCs w:val="20"/>
          <w:lang w:val="cs-CZ"/>
        </w:rPr>
        <w:t xml:space="preserve">v oblasti kulturního dědictví a scénického umění,“ </w:t>
      </w: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uvádí Jana </w:t>
      </w: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Štecová</w:t>
      </w: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z odboru statistiky rozvoje společnosti ČSÚ.</w:t>
      </w:r>
    </w:p>
    <w:p w:rsidR="7FE4E814" w:rsidP="1AAF1370" w:rsidRDefault="7FE4E814" w14:paraId="39D0239D" w14:textId="329CE0F4">
      <w:pPr>
        <w:pStyle w:val="Normal"/>
        <w:spacing w:before="120" w:beforeAutospacing="off" w:after="120" w:afterAutospacing="off" w:line="288" w:lineRule="auto"/>
        <w:ind w:left="0" w:firstLine="708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sz w:val="20"/>
          <w:szCs w:val="20"/>
          <w:lang w:val="cs-CZ"/>
        </w:rPr>
      </w:pPr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Podrobné údaje o ekonomické stránce kultury přináší nová publikace </w:t>
      </w:r>
      <w:hyperlink r:id="Rcbaecd8bfdfe480c">
        <w:r w:rsidRPr="1AAF1370" w:rsidR="3CCFEA5B">
          <w:rPr>
            <w:rStyle w:val="Hyperlink"/>
            <w:rFonts w:ascii="Roboto" w:hAnsi="Roboto" w:eastAsia="Roboto" w:cs="Roboto"/>
            <w:b w:val="0"/>
            <w:bCs w:val="0"/>
            <w:i w:val="1"/>
            <w:iCs w:val="1"/>
            <w:strike w:val="0"/>
            <w:dstrike w:val="0"/>
            <w:noProof w:val="0"/>
            <w:color w:val="0000FF"/>
            <w:sz w:val="20"/>
            <w:szCs w:val="20"/>
            <w:lang w:val="cs-CZ"/>
          </w:rPr>
          <w:t>Výsledky účtu kultury - 2024</w:t>
        </w:r>
      </w:hyperlink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, kterou vydává ČSÚ ve spolupráci s </w:t>
      </w:r>
      <w:hyperlink r:id="R1c5e20ed4ab44f17">
        <w:r w:rsidRPr="1AAF1370" w:rsidR="3CCFEA5B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strike w:val="0"/>
            <w:dstrike w:val="0"/>
            <w:noProof w:val="0"/>
            <w:color w:val="0000FF"/>
            <w:sz w:val="20"/>
            <w:szCs w:val="20"/>
            <w:lang w:val="cs-CZ"/>
          </w:rPr>
          <w:t>Národním institutem pro kulturu</w:t>
        </w:r>
      </w:hyperlink>
      <w:r w:rsidRPr="1AAF1370" w:rsidR="3CCFEA5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(NIK</w:t>
      </w:r>
      <w:r w:rsidRPr="1AAF1370" w:rsidR="35BD62CC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).</w:t>
      </w:r>
    </w:p>
    <w:p w:rsidR="7FE4E814" w:rsidP="1AAF1370" w:rsidRDefault="7FE4E814" w14:paraId="19C00641" w14:textId="00CDCE33">
      <w:pPr>
        <w:pStyle w:val="Normal"/>
        <w:spacing w:before="120" w:beforeAutospacing="off" w:after="120" w:afterAutospacing="off" w:line="288" w:lineRule="auto"/>
        <w:ind w:left="0" w:firstLine="708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sz w:val="20"/>
          <w:szCs w:val="20"/>
          <w:lang w:val="cs-CZ"/>
        </w:rPr>
      </w:pPr>
      <w:r w:rsidRPr="1AAF1370" w:rsidR="160D3AC9">
        <w:rPr>
          <w:rFonts w:ascii="Roboto" w:hAnsi="Roboto" w:eastAsia="Roboto" w:cs="Roboto"/>
          <w:b w:val="0"/>
          <w:bCs w:val="0"/>
          <w:i w:val="0"/>
          <w:iCs w:val="0"/>
          <w:noProof w:val="0"/>
          <w:sz w:val="20"/>
          <w:szCs w:val="20"/>
          <w:lang w:val="cs-CZ"/>
        </w:rPr>
        <w:t xml:space="preserve">Národní institut pro kulturu (NIK) je moderní a otevřená instituce s celostátním dosahem. Posláním NIK je poskytovat komplexní podporu kulturní infrastruktuře České </w:t>
      </w:r>
      <w:r w:rsidRPr="1AAF1370" w:rsidR="160D3AC9">
        <w:rPr>
          <w:rFonts w:ascii="Roboto" w:hAnsi="Roboto" w:eastAsia="Roboto" w:cs="Roboto"/>
          <w:b w:val="0"/>
          <w:bCs w:val="0"/>
          <w:i w:val="0"/>
          <w:iCs w:val="0"/>
          <w:noProof w:val="0"/>
          <w:sz w:val="20"/>
          <w:szCs w:val="20"/>
          <w:lang w:val="cs-CZ"/>
        </w:rPr>
        <w:t>republiky - od</w:t>
      </w:r>
      <w:r w:rsidRPr="1AAF1370" w:rsidR="160D3AC9">
        <w:rPr>
          <w:rFonts w:ascii="Roboto" w:hAnsi="Roboto" w:eastAsia="Roboto" w:cs="Roboto"/>
          <w:b w:val="0"/>
          <w:bCs w:val="0"/>
          <w:i w:val="0"/>
          <w:iCs w:val="0"/>
          <w:noProof w:val="0"/>
          <w:sz w:val="20"/>
          <w:szCs w:val="20"/>
          <w:lang w:val="cs-CZ"/>
        </w:rPr>
        <w:t xml:space="preserve"> analýz a koncepcí přes poradenství až po přímou podporu kulturních činností.</w:t>
      </w:r>
    </w:p>
    <w:p w:rsidR="1AAF1370" w:rsidP="1AAF1370" w:rsidRDefault="1AAF1370" w14:paraId="68E5D4F1" w14:textId="4A38C103">
      <w:pPr>
        <w:pStyle w:val="Normal"/>
        <w:bidi w:val="0"/>
        <w:spacing w:before="120" w:beforeAutospacing="off" w:after="120" w:afterAutospacing="off" w:line="288" w:lineRule="auto"/>
        <w:ind w:left="0"/>
        <w:jc w:val="both"/>
        <w:rPr>
          <w:rFonts w:ascii="Roboto" w:hAnsi="Roboto" w:eastAsia="Roboto" w:cs="Roboto"/>
          <w:noProof w:val="0"/>
          <w:sz w:val="20"/>
          <w:szCs w:val="20"/>
          <w:lang w:val="cs-CZ"/>
        </w:rPr>
      </w:pPr>
    </w:p>
    <w:p w:rsidR="0065A010" w:rsidP="7FE4E814" w:rsidRDefault="0065A010" w14:paraId="747E9226" w14:textId="17A08F6A">
      <w:pPr>
        <w:pStyle w:val="Normal.0"/>
        <w:keepNext w:val="0"/>
        <w:keepLines w:val="0"/>
        <w:widowControl w:val="1"/>
        <w:shd w:val="clear" w:color="auto" w:fill="auto"/>
        <w:spacing w:before="120" w:beforeAutospacing="off" w:after="120" w:afterAutospacing="off" w:line="288" w:lineRule="auto"/>
        <w:ind w:left="0" w:right="0" w:firstLine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AAF1370" w:rsidR="0065A01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Kontakt pro média</w:t>
      </w:r>
    </w:p>
    <w:p w:rsidR="0065A010" w:rsidP="1AAF1370" w:rsidRDefault="0065A010" w14:paraId="188A1756" w14:textId="7F6B4AA0">
      <w:pPr>
        <w:pStyle w:val="Normal"/>
        <w:spacing w:before="0" w:beforeAutospacing="off" w:after="150" w:afterAutospacing="off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cs-CZ"/>
        </w:rPr>
      </w:pPr>
      <w:r w:rsidRPr="1AAF1370" w:rsidR="435BD1C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Ing. Bohuslav Vondruška, </w:t>
      </w:r>
      <w:r w:rsidRPr="1AAF1370" w:rsidR="435BD1C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DiS</w:t>
      </w:r>
      <w:r w:rsidRPr="1AAF1370" w:rsidR="435BD1C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., Národní institut pro kulturu, vedoucí Oddělení statistiky kultury, tel.: 778 702 496, e-mail: bohuslav.vondruska@nipk.cz </w:t>
      </w:r>
    </w:p>
    <w:p w:rsidR="0065A010" w:rsidP="1AAF1370" w:rsidRDefault="0065A010" w14:paraId="4B7D4AE4" w14:textId="318FFFAE">
      <w:pPr>
        <w:pStyle w:val="Normal.0"/>
        <w:keepNext w:val="0"/>
        <w:keepLines w:val="0"/>
        <w:widowControl w:val="1"/>
        <w:shd w:val="clear" w:color="auto" w:fill="auto"/>
        <w:spacing w:before="120" w:beforeAutospacing="off" w:after="120" w:afterAutospacing="off" w:line="288" w:lineRule="auto"/>
        <w:ind w:left="0" w:right="0" w:firstLine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AF1370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s-CZ"/>
        </w:rPr>
        <w:t xml:space="preserve">Mgr. Jana Moravcová, Národní institut pro kulturu, PR, tel: 778 702 377, e-mail: </w:t>
      </w:r>
      <w:hyperlink r:id="Rc1333c00f5b84ca6">
        <w:r w:rsidRPr="1AAF1370" w:rsidR="0065A010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0"/>
            <w:szCs w:val="20"/>
            <w:u w:val="none"/>
            <w:lang w:val="cs-CZ"/>
          </w:rPr>
          <w:t>jana.moravcova@nipk.cz</w:t>
        </w:r>
      </w:hyperlink>
    </w:p>
    <w:p w:rsidR="7FE4E814" w:rsidP="7FE4E814" w:rsidRDefault="7FE4E814" w14:paraId="4AE26163" w14:textId="21B4646C">
      <w:pPr>
        <w:pStyle w:val="Normal"/>
        <w:rPr>
          <w:noProof w:val="0"/>
          <w:lang w:val="cs-CZ"/>
        </w:rPr>
      </w:pPr>
    </w:p>
    <w:p w:rsidR="7FF62261" w:rsidP="1AAF1370" w:rsidRDefault="7FF62261" w14:paraId="4DD109D6" w14:textId="47BFE9A2">
      <w:pPr>
        <w:pStyle w:val="Normal"/>
        <w:rPr>
          <w:noProof w:val="0"/>
          <w:lang w:val="cs-CZ"/>
        </w:rPr>
      </w:pPr>
    </w:p>
    <w:p w:rsidR="7FF62261" w:rsidP="1AAF1370" w:rsidRDefault="7FF62261" w14:paraId="62EB4431" w14:textId="40D30DB9">
      <w:pPr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cs-CZ"/>
        </w:rPr>
      </w:pPr>
      <w:r w:rsidRPr="1AAF1370" w:rsidR="0F1E7B86">
        <w:rPr>
          <w:rFonts w:ascii="Roboto" w:hAnsi="Roboto" w:eastAsia="Roboto" w:cs="Roboto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cs-CZ"/>
        </w:rPr>
        <w:t>Satelitní účet kultury je analytický nástroj pro sledování ekonomického významu kultury v Česku. Vznikl v roce 2009</w:t>
      </w:r>
      <w:r>
        <w:br/>
      </w:r>
      <w:r w:rsidRPr="1AAF1370" w:rsidR="0F1E7B86">
        <w:rPr>
          <w:rFonts w:ascii="Roboto" w:hAnsi="Roboto" w:eastAsia="Roboto" w:cs="Roboto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cs-CZ"/>
        </w:rPr>
        <w:t xml:space="preserve">a opírá se o mezinárodní metodiku </w:t>
      </w:r>
      <w:hyperlink r:id="R29bb803a25a84a7c">
        <w:r w:rsidRPr="1AAF1370" w:rsidR="0F1E7B86">
          <w:rPr>
            <w:rStyle w:val="Hyperlink"/>
            <w:rFonts w:ascii="Roboto" w:hAnsi="Roboto" w:eastAsia="Roboto" w:cs="Roboto"/>
            <w:b w:val="0"/>
            <w:bCs w:val="0"/>
            <w:i w:val="1"/>
            <w:iCs w:val="1"/>
            <w:strike w:val="0"/>
            <w:dstrike w:val="0"/>
            <w:noProof w:val="0"/>
            <w:color w:val="0000FF"/>
            <w:sz w:val="18"/>
            <w:szCs w:val="18"/>
            <w:lang w:val="cs-CZ"/>
          </w:rPr>
          <w:t>ESSnet Culture</w:t>
        </w:r>
      </w:hyperlink>
      <w:r w:rsidRPr="1AAF1370" w:rsidR="0F1E7B86">
        <w:rPr>
          <w:rFonts w:ascii="Roboto" w:hAnsi="Roboto" w:eastAsia="Roboto" w:cs="Roboto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cs-CZ"/>
        </w:rPr>
        <w:t xml:space="preserve">, Evropské komise a </w:t>
      </w:r>
      <w:r w:rsidRPr="1AAF1370" w:rsidR="0F1E7B86">
        <w:rPr>
          <w:rFonts w:ascii="Roboto" w:hAnsi="Roboto" w:eastAsia="Roboto" w:cs="Roboto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cs-CZ"/>
        </w:rPr>
        <w:t>Eurostatu</w:t>
      </w:r>
      <w:r w:rsidRPr="1AAF1370" w:rsidR="0F1E7B86">
        <w:rPr>
          <w:rFonts w:ascii="Roboto" w:hAnsi="Roboto" w:eastAsia="Roboto" w:cs="Roboto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cs-CZ"/>
        </w:rPr>
        <w:t>. Poskytuje objektivní data</w:t>
      </w:r>
      <w:r>
        <w:br/>
      </w:r>
      <w:r w:rsidRPr="1AAF1370" w:rsidR="0F1E7B86">
        <w:rPr>
          <w:rFonts w:ascii="Roboto" w:hAnsi="Roboto" w:eastAsia="Roboto" w:cs="Roboto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cs-CZ"/>
        </w:rPr>
        <w:t xml:space="preserve">o ekonomickém výkonu kultury a jejím umístění v české ekonomice a slouží také pro plánování a evaluaci </w:t>
      </w:r>
      <w:hyperlink r:id="Rb2c55f4fddc84298">
        <w:r w:rsidRPr="1AAF1370" w:rsidR="0F1E7B86">
          <w:rPr>
            <w:rStyle w:val="Hyperlink"/>
            <w:rFonts w:ascii="Roboto" w:hAnsi="Roboto" w:eastAsia="Roboto" w:cs="Roboto"/>
            <w:b w:val="0"/>
            <w:bCs w:val="0"/>
            <w:i w:val="1"/>
            <w:iCs w:val="1"/>
            <w:strike w:val="0"/>
            <w:dstrike w:val="0"/>
            <w:noProof w:val="0"/>
            <w:color w:val="0000FF"/>
            <w:sz w:val="18"/>
            <w:szCs w:val="18"/>
            <w:lang w:val="cs-CZ"/>
          </w:rPr>
          <w:t>Státní kulturní politiky 2026–2030+</w:t>
        </w:r>
      </w:hyperlink>
      <w:r w:rsidRPr="1AAF1370" w:rsidR="0F1E7B86">
        <w:rPr>
          <w:rFonts w:ascii="Roboto" w:hAnsi="Roboto" w:eastAsia="Roboto" w:cs="Roboto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cs-CZ"/>
        </w:rPr>
        <w:t xml:space="preserve">. Podrobné výsledky, včetně interaktivních reportů, jsou dostupné na webech </w:t>
      </w:r>
      <w:hyperlink r:id="Rd12a3bc2f4b74585">
        <w:r w:rsidRPr="1AAF1370" w:rsidR="0F1E7B86">
          <w:rPr>
            <w:rStyle w:val="Hyperlink"/>
            <w:rFonts w:ascii="Roboto" w:hAnsi="Roboto" w:eastAsia="Roboto" w:cs="Roboto"/>
            <w:b w:val="0"/>
            <w:bCs w:val="0"/>
            <w:i w:val="1"/>
            <w:iCs w:val="1"/>
            <w:strike w:val="0"/>
            <w:dstrike w:val="0"/>
            <w:noProof w:val="0"/>
            <w:color w:val="0000FF"/>
            <w:sz w:val="18"/>
            <w:szCs w:val="18"/>
            <w:lang w:val="cs-CZ"/>
          </w:rPr>
          <w:t>www.statistikakultury.cz</w:t>
        </w:r>
      </w:hyperlink>
      <w:r w:rsidRPr="1AAF1370" w:rsidR="0F1E7B86">
        <w:rPr>
          <w:rFonts w:ascii="Roboto" w:hAnsi="Roboto" w:eastAsia="Roboto" w:cs="Roboto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cs-CZ"/>
        </w:rPr>
        <w:t xml:space="preserve"> a </w:t>
      </w:r>
      <w:hyperlink r:id="Ra025634becbd4331">
        <w:r w:rsidRPr="1AAF1370" w:rsidR="0F1E7B86">
          <w:rPr>
            <w:rStyle w:val="Hyperlink"/>
            <w:rFonts w:ascii="Roboto" w:hAnsi="Roboto" w:eastAsia="Roboto" w:cs="Roboto"/>
            <w:b w:val="0"/>
            <w:bCs w:val="0"/>
            <w:i w:val="1"/>
            <w:iCs w:val="1"/>
            <w:strike w:val="0"/>
            <w:dstrike w:val="0"/>
            <w:noProof w:val="0"/>
            <w:color w:val="0000FF"/>
            <w:sz w:val="18"/>
            <w:szCs w:val="18"/>
            <w:lang w:val="cs-CZ"/>
          </w:rPr>
          <w:t>ČSÚ</w:t>
        </w:r>
      </w:hyperlink>
      <w:r w:rsidRPr="1AAF1370" w:rsidR="0F1E7B86">
        <w:rPr>
          <w:rFonts w:ascii="Roboto" w:hAnsi="Roboto" w:eastAsia="Roboto" w:cs="Roboto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cs-CZ"/>
        </w:rPr>
        <w:t>.</w:t>
      </w:r>
    </w:p>
    <w:p w:rsidR="7FF62261" w:rsidP="1AAF1370" w:rsidRDefault="7FF62261" w14:paraId="1882647D" w14:textId="06D94392">
      <w:pPr>
        <w:pStyle w:val="Normal.0"/>
        <w:rPr>
          <w:rFonts w:ascii="Roboto" w:hAnsi="Roboto" w:eastAsia="Roboto" w:cs="Roboto"/>
          <w:noProof w:val="0"/>
          <w:sz w:val="18"/>
          <w:szCs w:val="18"/>
          <w:lang w:val="cs-CZ"/>
        </w:rPr>
      </w:pPr>
    </w:p>
    <w:sectPr>
      <w:headerReference w:type="default" r:id="rId4"/>
      <w:footerReference w:type="default" r:id="rId5"/>
      <w:pgSz w:w="11900" w:h="16840" w:orient="portrait"/>
      <w:pgMar w:top="993" w:right="1417" w:bottom="1417" w:left="1417" w:header="1191" w:footer="907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Montserrat-Regular">
    <w:charset w:val="00"/>
    <w:family w:val="roman"/>
    <w:pitch w:val="default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3DEEC669" wp14:textId="77777777">
    <w:pPr>
      <w:pStyle w:val="Normal.0"/>
      <w:rPr>
        <w:b w:val="1"/>
        <w:bCs w:val="1"/>
        <w:sz w:val="21"/>
        <w:szCs w:val="21"/>
      </w:rPr>
    </w:pPr>
  </w:p>
  <w:p xmlns:wp14="http://schemas.microsoft.com/office/word/2010/wordml" w14:paraId="3656B9AB" wp14:textId="77777777">
    <w:pPr>
      <w:pStyle w:val="Normal.0"/>
      <w:rPr>
        <w:b w:val="1"/>
        <w:bCs w:val="1"/>
        <w:sz w:val="21"/>
        <w:szCs w:val="21"/>
      </w:rPr>
    </w:pPr>
  </w:p>
  <w:p xmlns:wp14="http://schemas.microsoft.com/office/word/2010/wordml" w14:paraId="45FB0818" wp14:textId="77777777">
    <w:pPr>
      <w:pStyle w:val="Normal.0"/>
      <w:rPr>
        <w:sz w:val="22"/>
        <w:szCs w:val="22"/>
      </w:rPr>
    </w:pPr>
  </w:p>
  <w:p xmlns:wp14="http://schemas.microsoft.com/office/word/2010/wordml" w14:paraId="049F31CB" wp14:textId="77777777">
    <w:pPr>
      <w:pStyle w:val="Normal.0"/>
      <w:rPr>
        <w:sz w:val="16"/>
        <w:szCs w:val="16"/>
      </w:rPr>
    </w:pPr>
  </w:p>
  <w:p xmlns:wp14="http://schemas.microsoft.com/office/word/2010/wordml" w:rsidP="533A1A78" w14:paraId="0B96D539" wp14:textId="3CF9C88B">
    <w:pPr>
      <w:pStyle w:val="Normal.0"/>
      <w:rPr>
        <w:rStyle w:val="Žádný"/>
        <w:rFonts w:ascii="Roboto" w:hAnsi="Roboto" w:eastAsia="Roboto" w:cs="Roboto"/>
        <w:sz w:val="16"/>
        <w:szCs w:val="16"/>
        <w:rtl w:val="0"/>
        <w:lang w:val="en-US"/>
      </w:rPr>
    </w:pPr>
    <w:hyperlink r:id="R7cd5de05209b414e">
      <w:r w:rsidRPr="5942A0BD" w:rsidR="5942A0BD">
        <w:rPr>
          <w:rStyle w:val="Hyperlink.0"/>
          <w:lang w:val="en-US"/>
        </w:rPr>
        <w:t>info@nipk.cz</w:t>
      </w:r>
    </w:hyperlink>
    <w:r>
      <w:tab/>
    </w:r>
    <w:r>
      <w:tab/>
    </w:r>
    <w:r>
      <w:tab/>
    </w:r>
    <w:r w:rsidRPr="5942A0BD" w:rsidR="5942A0BD">
      <w:rPr>
        <w:rStyle w:val="Žádný"/>
        <w:rFonts w:ascii="Roboto" w:hAnsi="Roboto" w:eastAsia="Roboto" w:cs="Roboto"/>
        <w:sz w:val="16"/>
        <w:szCs w:val="16"/>
        <w:lang w:val="en-US"/>
      </w:rPr>
      <w:t>Celetná</w:t>
    </w:r>
    <w:r w:rsidRPr="5942A0BD" w:rsidR="5942A0BD">
      <w:rPr>
        <w:rStyle w:val="Žádný"/>
        <w:rFonts w:ascii="Roboto" w:hAnsi="Roboto" w:eastAsia="Roboto" w:cs="Roboto"/>
        <w:sz w:val="16"/>
        <w:szCs w:val="16"/>
        <w:lang w:val="en-US"/>
      </w:rPr>
      <w:t xml:space="preserve"> 17, 110 00 Praha 1</w:t>
    </w:r>
    <w:r>
      <w:tab/>
    </w:r>
    <w:r>
      <w:tab/>
    </w:r>
    <w:r>
      <w:tab/>
    </w:r>
    <w:r w:rsidRPr="5942A0BD" w:rsidR="5942A0BD">
      <w:rPr>
        <w:rStyle w:val="Žádný"/>
        <w:rFonts w:ascii="Roboto" w:hAnsi="Roboto" w:eastAsia="Roboto" w:cs="Roboto"/>
        <w:sz w:val="16"/>
        <w:szCs w:val="16"/>
        <w:lang w:val="en-US"/>
      </w:rPr>
      <w:t>Bankovní</w:t>
    </w:r>
    <w:r w:rsidRPr="5942A0BD" w:rsidR="5942A0BD">
      <w:rPr>
        <w:rStyle w:val="Žádný"/>
        <w:rFonts w:ascii="Roboto" w:hAnsi="Roboto" w:eastAsia="Roboto" w:cs="Roboto"/>
        <w:sz w:val="16"/>
        <w:szCs w:val="16"/>
        <w:lang w:val="en-US"/>
      </w:rPr>
      <w:t xml:space="preserve"> </w:t>
    </w:r>
    <w:r w:rsidRPr="5942A0BD" w:rsidR="5942A0BD">
      <w:rPr>
        <w:rStyle w:val="Žádný"/>
        <w:rFonts w:ascii="Roboto" w:hAnsi="Roboto" w:eastAsia="Roboto" w:cs="Roboto"/>
        <w:sz w:val="16"/>
        <w:szCs w:val="16"/>
        <w:lang w:val="en-US"/>
      </w:rPr>
      <w:t>spojení</w:t>
    </w:r>
    <w:r w:rsidRPr="5942A0BD" w:rsidR="5942A0BD">
      <w:rPr>
        <w:rStyle w:val="Žádný"/>
        <w:rFonts w:ascii="Roboto" w:hAnsi="Roboto" w:eastAsia="Roboto" w:cs="Roboto"/>
        <w:sz w:val="16"/>
        <w:szCs w:val="16"/>
        <w:lang w:val="en-US"/>
      </w:rPr>
      <w:t>:</w:t>
    </w:r>
  </w:p>
  <w:p xmlns:wp14="http://schemas.microsoft.com/office/word/2010/wordml" w:rsidP="533A1A78" w14:paraId="03783D9C" wp14:textId="6872E330">
    <w:pPr>
      <w:pStyle w:val="Normal.0"/>
      <w:rPr>
        <w:rStyle w:val="Žádný"/>
        <w:rFonts w:ascii="Roboto" w:hAnsi="Roboto" w:eastAsia="Roboto" w:cs="Roboto"/>
        <w:sz w:val="16"/>
        <w:szCs w:val="16"/>
        <w:rtl w:val="0"/>
        <w:lang w:val="en-US"/>
      </w:rPr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"http://www.nipk.cz"</w:instrText>
    </w:r>
    <w:r>
      <w:rPr>
        <w:rStyle w:val="Hyperlink.0"/>
      </w:rPr>
      <w:fldChar w:fldCharType="separate" w:fldLock="0"/>
    </w:r>
    <w:r w:rsidRPr="533A1A78" w:rsidR="533A1A78">
      <w:rPr>
        <w:rStyle w:val="Hyperlink.0"/>
        <w:lang w:val="en-US"/>
      </w:rPr>
      <w:t>www.nipk.cz</w:t>
    </w:r>
    <w:r>
      <w:rPr/>
      <w:fldChar w:fldCharType="end" w:fldLock="0"/>
    </w:r>
    <w:r>
      <w:rPr>
        <w:rStyle w:val="Žádný"/>
      </w:rPr>
      <w:tab/>
    </w:r>
    <w:r>
      <w:tab/>
    </w:r>
    <w:r>
      <w:tab/>
    </w:r>
    <w:r w:rsidRPr="533A1A78" w:rsidR="533A1A78">
      <w:rPr>
        <w:rFonts w:ascii="Roboto" w:hAnsi="Roboto" w:eastAsia="Roboto" w:cs="Roboto"/>
        <w:b w:val="0"/>
        <w:bCs w:val="0"/>
        <w:i w:val="0"/>
        <w:iCs w:val="0"/>
        <w:noProof w:val="0"/>
        <w:color w:val="000000" w:themeColor="text1" w:themeTint="FF" w:themeShade="FF"/>
        <w:sz w:val="16"/>
        <w:szCs w:val="16"/>
        <w:lang w:val="en-US"/>
      </w:rPr>
      <w:t>IČ: 00023205 | DIČ: CZ00023205</w:t>
    </w:r>
    <w:r>
      <w:tab/>
    </w:r>
    <w:r>
      <w:tab/>
    </w:r>
    <w:r w:rsidRPr="533A1A78" w:rsidR="533A1A78">
      <w:rPr>
        <w:rStyle w:val="Žádný"/>
        <w:rFonts w:ascii="Roboto" w:hAnsi="Roboto" w:eastAsia="Roboto" w:cs="Roboto"/>
        <w:sz w:val="16"/>
        <w:szCs w:val="16"/>
        <w:lang w:val="en-US"/>
      </w:rPr>
      <w:t>ČNB č. ú. 63838011/0710</w:t>
    </w:r>
  </w:p>
  <w:p xmlns:wp14="http://schemas.microsoft.com/office/word/2010/wordml" w:rsidP="533A1A78" w14:paraId="3941C4FE" wp14:textId="564A169F">
    <w:pPr>
      <w:pStyle w:val="Normal.0"/>
      <w:rPr>
        <w:rStyle w:val="Žádný"/>
        <w:sz w:val="16"/>
        <w:szCs w:val="16"/>
        <w:rtl w:val="0"/>
        <w:lang w:val="en-US"/>
      </w:rPr>
    </w:pPr>
  </w:p>
  <w:p xmlns:wp14="http://schemas.microsoft.com/office/word/2010/wordml" w:rsidP="533A1A78" w14:paraId="193CA68B" wp14:textId="427839B7">
    <w:pPr>
      <w:pStyle w:val="Normal.0"/>
      <w:rPr>
        <w:rStyle w:val="Žádný"/>
        <w:sz w:val="16"/>
        <w:szCs w:val="16"/>
        <w:rtl w:val="0"/>
        <w:lang w:val="en-US"/>
      </w:rPr>
    </w:pPr>
    <w:r w:rsidRPr="7FE4E814" w:rsidR="7FE4E814">
      <w:rPr>
        <w:rStyle w:val="Žádný"/>
        <w:lang w:val="en-US"/>
      </w:rPr>
      <w:t xml:space="preserve"> </w:t>
    </w:r>
    <w:r w:rsidRPr="7FE4E814" w:rsidR="7FE4E814">
      <w:rPr>
        <w:rStyle w:val="Žádný"/>
        <w:lang w:val="en-US"/>
      </w:rPr>
      <w:t xml:space="preserve"> </w:t>
    </w:r>
  </w:p>
  <w:p xmlns:wp14="http://schemas.microsoft.com/office/word/2010/wordml" w:rsidP="533A1A78" w14:paraId="25B27CA9" wp14:textId="20B6696D">
    <w:pPr>
      <w:pStyle w:val="Normal.0"/>
    </w:pPr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:rsidP="533A1A78" w14:paraId="359E71FB" wp14:textId="144ECB51">
    <w:pPr>
      <w:pStyle w:val="Normal.0"/>
      <w:spacing w:line="240" w:lineRule="auto"/>
      <w:rPr>
        <w:rFonts w:ascii="Roboto" w:hAnsi="Roboto" w:eastAsia="Roboto" w:cs="Roboto"/>
        <w:sz w:val="28"/>
        <w:szCs w:val="28"/>
        <w:lang w:val="en-US"/>
      </w:rPr>
    </w:pP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>N</w:t>
    </w: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>á</w:t>
    </w: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>rodn</w:t>
    </w: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 xml:space="preserve">í</w:t>
    </w: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 xml:space="preserve"> </w:t>
    </w: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 xml:space="preserve">institut</w:t>
    </w: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 xml:space="preserve"> pro </w:t>
    </w: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 xml:space="preserve">kulturu</w:t>
    </w: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 xml:space="preserve"> </w:t>
    </w:r>
    <w:r>
      <w:rPr>
        <w:b w:val="1"/>
        <w:bCs w:val="1"/>
        <w:sz w:val="28"/>
        <w:szCs w:val="28"/>
      </w:rPr>
      <w:br w:type="textWrapping"/>
    </w:r>
  </w:p>
  <w:p xmlns:wp14="http://schemas.microsoft.com/office/word/2010/wordml" w:rsidP="533A1A78" w14:paraId="0FF6640E" wp14:textId="77777777">
    <w:pPr>
      <w:pStyle w:val="Normal.0"/>
      <w:spacing w:line="240" w:lineRule="auto"/>
      <w:rPr>
        <w:rFonts w:ascii="Roboto" w:hAnsi="Roboto" w:eastAsia="Roboto" w:cs="Roboto"/>
        <w:b w:val="1"/>
        <w:bCs w:val="1"/>
        <w:sz w:val="28"/>
        <w:szCs w:val="28"/>
        <w:lang w:val="en-US"/>
      </w:rPr>
    </w:pP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>Czech Cultural Institute</w:t>
    </w:r>
  </w:p>
  <w:p xmlns:wp14="http://schemas.microsoft.com/office/word/2010/wordml" w14:paraId="60061E4C" wp14:textId="77777777">
    <w:pPr>
      <w:pStyle w:val="Normal.0"/>
      <w:spacing w:line="240" w:lineRule="auto"/>
      <w:rPr>
        <w:b w:val="1"/>
        <w:bCs w:val="1"/>
      </w:rPr>
    </w:pPr>
  </w:p>
  <w:p xmlns:wp14="http://schemas.microsoft.com/office/word/2010/wordml" w14:paraId="44EAFD9C" wp14:textId="77777777">
    <w:pPr>
      <w:pStyle w:val="Normal.0"/>
      <w:spacing w:line="240" w:lineRule="auto"/>
      <w:rPr>
        <w:b w:val="1"/>
        <w:bCs w:val="1"/>
      </w:rPr>
    </w:pPr>
  </w:p>
  <w:p xmlns:wp14="http://schemas.microsoft.com/office/word/2010/wordml" w14:paraId="4B94D5A5" wp14:textId="77777777">
    <w:pPr>
      <w:pStyle w:val="Normal.0"/>
      <w:spacing w:line="240" w:lineRule="auto"/>
    </w:pPr>
    <w:r>
      <w:rPr>
        <w:b w:val="1"/>
        <w:bCs w:val="1"/>
      </w:rPr>
    </w:r>
  </w:p>
</w:hdr>
</file>

<file path=word/intelligence2.xml><?xml version="1.0" encoding="utf-8"?>
<int2:intelligence xmlns:int2="http://schemas.microsoft.com/office/intelligence/2020/intelligence">
  <int2:observations>
    <int2:bookmark int2:bookmarkName="_Int_eo2KBMiZ" int2:invalidationBookmarkName="" int2:hashCode="ODMMVqyLBuPtYi" int2:id="EQbjYtZq">
      <int2:state int2:type="gram" int2:value="Rejected"/>
    </int2:bookmark>
    <int2:bookmark int2:bookmarkName="_Int_59k8OQEh" int2:invalidationBookmarkName="" int2:hashCode="ODMMVqyLBuPtYi" int2:id="2Vt7hTIn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34b4c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b1f32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a2e56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89991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25172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rsids>
    <w:rsidRoot w:val="0E6D3644"/>
    <w:rsid w:val="00572DBD"/>
    <w:rsid w:val="0065A010"/>
    <w:rsid w:val="00C75BFA"/>
    <w:rsid w:val="00DBBA13"/>
    <w:rsid w:val="00EF5DC1"/>
    <w:rsid w:val="00F56F09"/>
    <w:rsid w:val="010C30C5"/>
    <w:rsid w:val="0139469A"/>
    <w:rsid w:val="0141DE24"/>
    <w:rsid w:val="0174E5CC"/>
    <w:rsid w:val="01E7A9F5"/>
    <w:rsid w:val="02019105"/>
    <w:rsid w:val="02C0A9D9"/>
    <w:rsid w:val="0344B4CF"/>
    <w:rsid w:val="04664EC5"/>
    <w:rsid w:val="04BD5016"/>
    <w:rsid w:val="050EAB13"/>
    <w:rsid w:val="05DC9340"/>
    <w:rsid w:val="069A9148"/>
    <w:rsid w:val="06B063C9"/>
    <w:rsid w:val="06DCC1AC"/>
    <w:rsid w:val="07C8B44E"/>
    <w:rsid w:val="081F035B"/>
    <w:rsid w:val="08A49187"/>
    <w:rsid w:val="0951888C"/>
    <w:rsid w:val="09737DF4"/>
    <w:rsid w:val="09A1E8CD"/>
    <w:rsid w:val="09EA96FB"/>
    <w:rsid w:val="0A3E666E"/>
    <w:rsid w:val="0A4587E8"/>
    <w:rsid w:val="0A9A9133"/>
    <w:rsid w:val="0B2E8578"/>
    <w:rsid w:val="0B320455"/>
    <w:rsid w:val="0B9C73A9"/>
    <w:rsid w:val="0BCC07CB"/>
    <w:rsid w:val="0C5276C4"/>
    <w:rsid w:val="0C6A3618"/>
    <w:rsid w:val="0C737F8E"/>
    <w:rsid w:val="0C91679F"/>
    <w:rsid w:val="0CD09D25"/>
    <w:rsid w:val="0D0F2B04"/>
    <w:rsid w:val="0D90ED7F"/>
    <w:rsid w:val="0D971467"/>
    <w:rsid w:val="0DA0A870"/>
    <w:rsid w:val="0DA31D20"/>
    <w:rsid w:val="0DCDF2CE"/>
    <w:rsid w:val="0DF59AED"/>
    <w:rsid w:val="0E3C95C6"/>
    <w:rsid w:val="0E47CD48"/>
    <w:rsid w:val="0E494050"/>
    <w:rsid w:val="0E6D3644"/>
    <w:rsid w:val="0E92BDF2"/>
    <w:rsid w:val="0ED0CB6B"/>
    <w:rsid w:val="0EFF9D37"/>
    <w:rsid w:val="0F1E7B86"/>
    <w:rsid w:val="0F55F278"/>
    <w:rsid w:val="1003499D"/>
    <w:rsid w:val="100998E4"/>
    <w:rsid w:val="101F8347"/>
    <w:rsid w:val="10234676"/>
    <w:rsid w:val="10632EA0"/>
    <w:rsid w:val="10C0DD47"/>
    <w:rsid w:val="11419078"/>
    <w:rsid w:val="1176AF40"/>
    <w:rsid w:val="11C66829"/>
    <w:rsid w:val="121873B9"/>
    <w:rsid w:val="124FC584"/>
    <w:rsid w:val="128F2BBB"/>
    <w:rsid w:val="12D74F76"/>
    <w:rsid w:val="12E016A7"/>
    <w:rsid w:val="13AF0E4D"/>
    <w:rsid w:val="144FAEB6"/>
    <w:rsid w:val="1485E388"/>
    <w:rsid w:val="14CBA112"/>
    <w:rsid w:val="14FB3226"/>
    <w:rsid w:val="153B8E6E"/>
    <w:rsid w:val="1588C103"/>
    <w:rsid w:val="15A9164F"/>
    <w:rsid w:val="15ECCDA0"/>
    <w:rsid w:val="160D3AC9"/>
    <w:rsid w:val="164A48C3"/>
    <w:rsid w:val="16FD71A7"/>
    <w:rsid w:val="181E096F"/>
    <w:rsid w:val="183BB0DF"/>
    <w:rsid w:val="18528CFB"/>
    <w:rsid w:val="18EFBFE0"/>
    <w:rsid w:val="196DA702"/>
    <w:rsid w:val="197BF99D"/>
    <w:rsid w:val="19B82DF1"/>
    <w:rsid w:val="19D128EA"/>
    <w:rsid w:val="1A55B49A"/>
    <w:rsid w:val="1A61C562"/>
    <w:rsid w:val="1A79D948"/>
    <w:rsid w:val="1A82F6E0"/>
    <w:rsid w:val="1A84A1DC"/>
    <w:rsid w:val="1A9C7D99"/>
    <w:rsid w:val="1AAF1370"/>
    <w:rsid w:val="1B291697"/>
    <w:rsid w:val="1B4E354A"/>
    <w:rsid w:val="1B684C2C"/>
    <w:rsid w:val="1B835C78"/>
    <w:rsid w:val="1BCDF596"/>
    <w:rsid w:val="1C4F608E"/>
    <w:rsid w:val="1C67E108"/>
    <w:rsid w:val="1D3E26FC"/>
    <w:rsid w:val="1D63B939"/>
    <w:rsid w:val="1E5D89DB"/>
    <w:rsid w:val="1ED79DD4"/>
    <w:rsid w:val="1F314652"/>
    <w:rsid w:val="1FDC0E79"/>
    <w:rsid w:val="2028FB5C"/>
    <w:rsid w:val="203F4BAC"/>
    <w:rsid w:val="20C9AB3A"/>
    <w:rsid w:val="2108F240"/>
    <w:rsid w:val="2152D0F7"/>
    <w:rsid w:val="21A2D805"/>
    <w:rsid w:val="22348DA5"/>
    <w:rsid w:val="223FDE1A"/>
    <w:rsid w:val="224873EB"/>
    <w:rsid w:val="22787AC5"/>
    <w:rsid w:val="23A69C3D"/>
    <w:rsid w:val="23B55D94"/>
    <w:rsid w:val="2406BE10"/>
    <w:rsid w:val="24338570"/>
    <w:rsid w:val="244C3CB0"/>
    <w:rsid w:val="24568084"/>
    <w:rsid w:val="24DB8CDC"/>
    <w:rsid w:val="24DFBA86"/>
    <w:rsid w:val="24FA11EE"/>
    <w:rsid w:val="24FF6087"/>
    <w:rsid w:val="2518D330"/>
    <w:rsid w:val="252BBA0A"/>
    <w:rsid w:val="2544A814"/>
    <w:rsid w:val="25D55938"/>
    <w:rsid w:val="2696EE24"/>
    <w:rsid w:val="2749E0D0"/>
    <w:rsid w:val="27C9961A"/>
    <w:rsid w:val="27D0131A"/>
    <w:rsid w:val="2818435D"/>
    <w:rsid w:val="286355CE"/>
    <w:rsid w:val="2864A5A5"/>
    <w:rsid w:val="28E3017F"/>
    <w:rsid w:val="2952C5A3"/>
    <w:rsid w:val="2997EA8D"/>
    <w:rsid w:val="29E408AD"/>
    <w:rsid w:val="29ED2018"/>
    <w:rsid w:val="2A70EC8B"/>
    <w:rsid w:val="2A78E61B"/>
    <w:rsid w:val="2AC5EE47"/>
    <w:rsid w:val="2B38D821"/>
    <w:rsid w:val="2B48050B"/>
    <w:rsid w:val="2B67CAE6"/>
    <w:rsid w:val="2B843591"/>
    <w:rsid w:val="2B9EF1A1"/>
    <w:rsid w:val="2BE962EB"/>
    <w:rsid w:val="2BF9F69B"/>
    <w:rsid w:val="2C0F7F13"/>
    <w:rsid w:val="2CFA6698"/>
    <w:rsid w:val="2E173863"/>
    <w:rsid w:val="2E60676F"/>
    <w:rsid w:val="2F31B076"/>
    <w:rsid w:val="2F80BDE4"/>
    <w:rsid w:val="2FA2230D"/>
    <w:rsid w:val="2FB2612F"/>
    <w:rsid w:val="2FD447E3"/>
    <w:rsid w:val="3003888F"/>
    <w:rsid w:val="30192859"/>
    <w:rsid w:val="3019F42D"/>
    <w:rsid w:val="305BD3B0"/>
    <w:rsid w:val="30A446D3"/>
    <w:rsid w:val="30D9629B"/>
    <w:rsid w:val="3106C02E"/>
    <w:rsid w:val="3162A7BF"/>
    <w:rsid w:val="316DBA77"/>
    <w:rsid w:val="31B841D1"/>
    <w:rsid w:val="320E3910"/>
    <w:rsid w:val="32141E9E"/>
    <w:rsid w:val="33193095"/>
    <w:rsid w:val="3389A482"/>
    <w:rsid w:val="3390A8ED"/>
    <w:rsid w:val="34437EB4"/>
    <w:rsid w:val="346981E6"/>
    <w:rsid w:val="34D3ECF1"/>
    <w:rsid w:val="3507B2B7"/>
    <w:rsid w:val="3578D7C0"/>
    <w:rsid w:val="35BD62CC"/>
    <w:rsid w:val="3604B1AB"/>
    <w:rsid w:val="3711E9B3"/>
    <w:rsid w:val="373ED729"/>
    <w:rsid w:val="374EE73B"/>
    <w:rsid w:val="3783B449"/>
    <w:rsid w:val="3787E4E9"/>
    <w:rsid w:val="37CB52D2"/>
    <w:rsid w:val="38720C09"/>
    <w:rsid w:val="38D64EA2"/>
    <w:rsid w:val="38DB5883"/>
    <w:rsid w:val="38F669F2"/>
    <w:rsid w:val="392A166B"/>
    <w:rsid w:val="394C653E"/>
    <w:rsid w:val="39727D07"/>
    <w:rsid w:val="397F1AAA"/>
    <w:rsid w:val="39977DA4"/>
    <w:rsid w:val="39D70F02"/>
    <w:rsid w:val="39F2AD00"/>
    <w:rsid w:val="3A360120"/>
    <w:rsid w:val="3ABC72C5"/>
    <w:rsid w:val="3AC07DE9"/>
    <w:rsid w:val="3AF95E37"/>
    <w:rsid w:val="3AF9BD08"/>
    <w:rsid w:val="3B0CE3D7"/>
    <w:rsid w:val="3B2B1D3B"/>
    <w:rsid w:val="3C053A6F"/>
    <w:rsid w:val="3CAAAF9B"/>
    <w:rsid w:val="3CCFEA5B"/>
    <w:rsid w:val="3CFB0468"/>
    <w:rsid w:val="3D5777A5"/>
    <w:rsid w:val="3D5DD243"/>
    <w:rsid w:val="3D89D8A0"/>
    <w:rsid w:val="3EE151AB"/>
    <w:rsid w:val="3F6061C7"/>
    <w:rsid w:val="3FC54521"/>
    <w:rsid w:val="4001FA3E"/>
    <w:rsid w:val="40837015"/>
    <w:rsid w:val="40B23579"/>
    <w:rsid w:val="410221BB"/>
    <w:rsid w:val="41080F85"/>
    <w:rsid w:val="416DACB9"/>
    <w:rsid w:val="419FEF32"/>
    <w:rsid w:val="41B9CB30"/>
    <w:rsid w:val="41BEEA11"/>
    <w:rsid w:val="425238B8"/>
    <w:rsid w:val="4287A677"/>
    <w:rsid w:val="42C7F82B"/>
    <w:rsid w:val="43549FAD"/>
    <w:rsid w:val="435BD1C0"/>
    <w:rsid w:val="43A315C6"/>
    <w:rsid w:val="43E18FD8"/>
    <w:rsid w:val="442E8D10"/>
    <w:rsid w:val="446EFBAE"/>
    <w:rsid w:val="449A6CED"/>
    <w:rsid w:val="44A0A2CC"/>
    <w:rsid w:val="44A6A91E"/>
    <w:rsid w:val="45754C29"/>
    <w:rsid w:val="4607EDA4"/>
    <w:rsid w:val="464CC0EC"/>
    <w:rsid w:val="465CFA12"/>
    <w:rsid w:val="46823E5B"/>
    <w:rsid w:val="46894461"/>
    <w:rsid w:val="469A7318"/>
    <w:rsid w:val="469FF769"/>
    <w:rsid w:val="46BF8145"/>
    <w:rsid w:val="47055464"/>
    <w:rsid w:val="4778E4D2"/>
    <w:rsid w:val="47B0FA09"/>
    <w:rsid w:val="4803390F"/>
    <w:rsid w:val="4860550A"/>
    <w:rsid w:val="487D4D7E"/>
    <w:rsid w:val="489B8C21"/>
    <w:rsid w:val="48F1097E"/>
    <w:rsid w:val="48F6BEE6"/>
    <w:rsid w:val="49E4C73A"/>
    <w:rsid w:val="4A2B6C98"/>
    <w:rsid w:val="4A6557B1"/>
    <w:rsid w:val="4A81B446"/>
    <w:rsid w:val="4AB38B62"/>
    <w:rsid w:val="4ACA0881"/>
    <w:rsid w:val="4AF75A53"/>
    <w:rsid w:val="4B24347F"/>
    <w:rsid w:val="4B3429D8"/>
    <w:rsid w:val="4BA74A8C"/>
    <w:rsid w:val="4BE7D3AB"/>
    <w:rsid w:val="4BF48D9B"/>
    <w:rsid w:val="4C7E3F77"/>
    <w:rsid w:val="4C9A237E"/>
    <w:rsid w:val="4C9C43B8"/>
    <w:rsid w:val="4CC5C489"/>
    <w:rsid w:val="4CC93C7B"/>
    <w:rsid w:val="4CFE640C"/>
    <w:rsid w:val="4D182CD9"/>
    <w:rsid w:val="4D4C8043"/>
    <w:rsid w:val="4D828C3B"/>
    <w:rsid w:val="4D983DBA"/>
    <w:rsid w:val="4DBDC9A1"/>
    <w:rsid w:val="4DFBF771"/>
    <w:rsid w:val="4E1E897F"/>
    <w:rsid w:val="4E61BB43"/>
    <w:rsid w:val="4EBBAF80"/>
    <w:rsid w:val="4EF21BE4"/>
    <w:rsid w:val="4F17EE54"/>
    <w:rsid w:val="4FD917A5"/>
    <w:rsid w:val="5007A48B"/>
    <w:rsid w:val="5092ECAB"/>
    <w:rsid w:val="509A3FBA"/>
    <w:rsid w:val="50E87040"/>
    <w:rsid w:val="515648AA"/>
    <w:rsid w:val="51572E4F"/>
    <w:rsid w:val="51CFF91D"/>
    <w:rsid w:val="51D4982C"/>
    <w:rsid w:val="5228610D"/>
    <w:rsid w:val="5265ECA5"/>
    <w:rsid w:val="52EDA7BA"/>
    <w:rsid w:val="52F1BAF5"/>
    <w:rsid w:val="5337CA27"/>
    <w:rsid w:val="533A1A78"/>
    <w:rsid w:val="53536012"/>
    <w:rsid w:val="538E1393"/>
    <w:rsid w:val="5470B01C"/>
    <w:rsid w:val="54724943"/>
    <w:rsid w:val="547A4A4F"/>
    <w:rsid w:val="547A4A4F"/>
    <w:rsid w:val="5494E78D"/>
    <w:rsid w:val="54BA719C"/>
    <w:rsid w:val="54EC8C65"/>
    <w:rsid w:val="556BA719"/>
    <w:rsid w:val="55C07E88"/>
    <w:rsid w:val="560CF49E"/>
    <w:rsid w:val="561348E4"/>
    <w:rsid w:val="56BA8DCD"/>
    <w:rsid w:val="56DCBCF5"/>
    <w:rsid w:val="5765D1CD"/>
    <w:rsid w:val="57727FCC"/>
    <w:rsid w:val="57C80E2C"/>
    <w:rsid w:val="57D35492"/>
    <w:rsid w:val="58412084"/>
    <w:rsid w:val="5942A0BD"/>
    <w:rsid w:val="5A368F26"/>
    <w:rsid w:val="5A475230"/>
    <w:rsid w:val="5A597057"/>
    <w:rsid w:val="5AD2C4F6"/>
    <w:rsid w:val="5AD310C6"/>
    <w:rsid w:val="5ADB3CB9"/>
    <w:rsid w:val="5AF4AA86"/>
    <w:rsid w:val="5B1DA39D"/>
    <w:rsid w:val="5B451EF8"/>
    <w:rsid w:val="5B4E7321"/>
    <w:rsid w:val="5B97C99A"/>
    <w:rsid w:val="5BFF063F"/>
    <w:rsid w:val="5C7CD9B8"/>
    <w:rsid w:val="5C7F0CA9"/>
    <w:rsid w:val="5CBD0470"/>
    <w:rsid w:val="5D76CA54"/>
    <w:rsid w:val="5DE089CB"/>
    <w:rsid w:val="5E081028"/>
    <w:rsid w:val="5E10472C"/>
    <w:rsid w:val="5E4F6B6F"/>
    <w:rsid w:val="5EC83D1F"/>
    <w:rsid w:val="5FCD4788"/>
    <w:rsid w:val="5FDB335A"/>
    <w:rsid w:val="5FE3766F"/>
    <w:rsid w:val="5FE52B90"/>
    <w:rsid w:val="6170D299"/>
    <w:rsid w:val="617D4A7A"/>
    <w:rsid w:val="61E3A50C"/>
    <w:rsid w:val="6205439B"/>
    <w:rsid w:val="621992F9"/>
    <w:rsid w:val="6252A910"/>
    <w:rsid w:val="62607051"/>
    <w:rsid w:val="62B40C39"/>
    <w:rsid w:val="62FFDFBF"/>
    <w:rsid w:val="6330DB6A"/>
    <w:rsid w:val="640B55C9"/>
    <w:rsid w:val="64CB9FB1"/>
    <w:rsid w:val="650A68DE"/>
    <w:rsid w:val="659438E1"/>
    <w:rsid w:val="65C56EF0"/>
    <w:rsid w:val="6714B96E"/>
    <w:rsid w:val="676726D8"/>
    <w:rsid w:val="67843E56"/>
    <w:rsid w:val="6843A494"/>
    <w:rsid w:val="6847B60D"/>
    <w:rsid w:val="68586FCD"/>
    <w:rsid w:val="686DFC06"/>
    <w:rsid w:val="687DB86D"/>
    <w:rsid w:val="68AA9232"/>
    <w:rsid w:val="68BAF293"/>
    <w:rsid w:val="68CAC984"/>
    <w:rsid w:val="68D1C408"/>
    <w:rsid w:val="68D4AFB5"/>
    <w:rsid w:val="69627440"/>
    <w:rsid w:val="699B07D4"/>
    <w:rsid w:val="69C9688E"/>
    <w:rsid w:val="69F35E31"/>
    <w:rsid w:val="6A21377C"/>
    <w:rsid w:val="6AB4EEBB"/>
    <w:rsid w:val="6B3B4047"/>
    <w:rsid w:val="6BE322D7"/>
    <w:rsid w:val="6C28330E"/>
    <w:rsid w:val="6C28330E"/>
    <w:rsid w:val="6C30FFCF"/>
    <w:rsid w:val="6C3FF103"/>
    <w:rsid w:val="6CE4B342"/>
    <w:rsid w:val="6D471EDA"/>
    <w:rsid w:val="6DFD68AF"/>
    <w:rsid w:val="6E83A664"/>
    <w:rsid w:val="6E8D9D92"/>
    <w:rsid w:val="6F31663E"/>
    <w:rsid w:val="6F844861"/>
    <w:rsid w:val="6FE50D7A"/>
    <w:rsid w:val="6FF21F76"/>
    <w:rsid w:val="7009C1D5"/>
    <w:rsid w:val="70C5BE00"/>
    <w:rsid w:val="711E0C84"/>
    <w:rsid w:val="7132D533"/>
    <w:rsid w:val="715B1923"/>
    <w:rsid w:val="717879C5"/>
    <w:rsid w:val="71B74CEA"/>
    <w:rsid w:val="7276BE42"/>
    <w:rsid w:val="72C0B6DF"/>
    <w:rsid w:val="72E8C559"/>
    <w:rsid w:val="733DDB72"/>
    <w:rsid w:val="7368BEBE"/>
    <w:rsid w:val="740B92EA"/>
    <w:rsid w:val="746F5F20"/>
    <w:rsid w:val="748BAA2A"/>
    <w:rsid w:val="7532384B"/>
    <w:rsid w:val="754D3EE8"/>
    <w:rsid w:val="760298AF"/>
    <w:rsid w:val="7615D9B3"/>
    <w:rsid w:val="762495A7"/>
    <w:rsid w:val="763D6A52"/>
    <w:rsid w:val="7678DD13"/>
    <w:rsid w:val="76BAEB24"/>
    <w:rsid w:val="76CE2721"/>
    <w:rsid w:val="77C1088A"/>
    <w:rsid w:val="77C62D69"/>
    <w:rsid w:val="78040AB3"/>
    <w:rsid w:val="78071E60"/>
    <w:rsid w:val="79000ABC"/>
    <w:rsid w:val="793DD136"/>
    <w:rsid w:val="7962AA1B"/>
    <w:rsid w:val="799D19C7"/>
    <w:rsid w:val="7A41F441"/>
    <w:rsid w:val="7A477CD3"/>
    <w:rsid w:val="7A954D7C"/>
    <w:rsid w:val="7ADA82CA"/>
    <w:rsid w:val="7B513927"/>
    <w:rsid w:val="7B5D2B2D"/>
    <w:rsid w:val="7B967ACB"/>
    <w:rsid w:val="7BB04C1F"/>
    <w:rsid w:val="7C28B1DC"/>
    <w:rsid w:val="7C8BC22D"/>
    <w:rsid w:val="7D4ECFDE"/>
    <w:rsid w:val="7D59DF5C"/>
    <w:rsid w:val="7D75FF7C"/>
    <w:rsid w:val="7D80EA42"/>
    <w:rsid w:val="7E78903C"/>
    <w:rsid w:val="7E9E25E0"/>
    <w:rsid w:val="7EAC421A"/>
    <w:rsid w:val="7EBCE897"/>
    <w:rsid w:val="7FA03DE7"/>
    <w:rsid w:val="7FD5657D"/>
    <w:rsid w:val="7FE4E814"/>
    <w:rsid w:val="7FF62261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93B30E"/>
  <w15:docId w15:val="{634CAA99-0845-4B31-ADCB-5D15AC72536B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uiPriority w:val="0"/>
    <w:name w:val="Normal"/>
    <w:next w:val="Normal"/>
    <w:qFormat/>
    <w:rsid w:val="71B74CEA"/>
    <w:rPr>
      <w:noProof w:val="0"/>
      <w:sz w:val="24"/>
      <w:szCs w:val="24"/>
      <w:lang w:val="cs-CZ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Normal.0">
    <w:name w:val="Normal0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outline w:val="0"/>
      <w:color w:val="000000"/>
      <w:u w:val="single" w:color="000000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ListParagraph">
    <w:uiPriority w:val="34"/>
    <w:name w:val="List Paragraph"/>
    <w:basedOn w:val="Normal"/>
    <w:qFormat/>
    <w:rsid w:val="71B74CEA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header" Target="header1.xml" Id="rId4" /><Relationship Type="http://schemas.openxmlformats.org/officeDocument/2006/relationships/footer" Target="footer1.xml" Id="rId5" /><Relationship Type="http://schemas.openxmlformats.org/officeDocument/2006/relationships/theme" Target="theme/theme1.xml" Id="rId6" /><Relationship Type="http://schemas.openxmlformats.org/officeDocument/2006/relationships/numbering" Target="numbering.xml" Id="R3f5e5015bc134abc" /><Relationship Type="http://schemas.microsoft.com/office/2020/10/relationships/intelligence" Target="intelligence2.xml" Id="R23140ee5a284477b" /><Relationship Type="http://schemas.openxmlformats.org/officeDocument/2006/relationships/hyperlink" Target="https://csu.gov.cz/produkty/vysledky-uctu-kultury-za-rok-2024" TargetMode="External" Id="Rcbaecd8bfdfe480c" /><Relationship Type="http://schemas.openxmlformats.org/officeDocument/2006/relationships/hyperlink" Target="https://nipk.cz/" TargetMode="External" Id="R1c5e20ed4ab44f17" /><Relationship Type="http://schemas.openxmlformats.org/officeDocument/2006/relationships/hyperlink" Target="mailto:jana.moravcova@nipk.cz" TargetMode="External" Id="Rc1333c00f5b84ca6" /><Relationship Type="http://schemas.openxmlformats.org/officeDocument/2006/relationships/hyperlink" Target="https://ec.europa.eu/eurostat/documents/341465/3199631/essnet-culture.pdf" TargetMode="External" Id="R29bb803a25a84a7c" /><Relationship Type="http://schemas.openxmlformats.org/officeDocument/2006/relationships/hyperlink" Target="https://www.mk.gov.cz/statni-kulturni-politika-cs-69" TargetMode="External" Id="Rb2c55f4fddc84298" /><Relationship Type="http://schemas.openxmlformats.org/officeDocument/2006/relationships/hyperlink" Target="https://www.statistikakultury.cz/" TargetMode="External" Id="Rd12a3bc2f4b74585" /><Relationship Type="http://schemas.openxmlformats.org/officeDocument/2006/relationships/hyperlink" Target="https://csu.gov.cz/vydaje-na-kulturu?pocet=10&amp;start=0&amp;podskupiny=094&amp;razeni=-datumVydani" TargetMode="External" Id="Ra025634becbd433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info@nipk.cz" TargetMode="External" Id="R7cd5de05209b414e" />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Uživatel typu Host</lastModifiedBy>
  <dcterms:modified xsi:type="dcterms:W3CDTF">2026-05-18T10:10:48.0319844Z</dcterms:modified>
</coreProperties>
</file>