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CA47" w14:textId="77777777" w:rsidR="001509A3" w:rsidRDefault="001509A3">
      <w:pPr>
        <w:sectPr w:rsidR="001509A3" w:rsidSect="00467ABE">
          <w:headerReference w:type="default" r:id="rId10"/>
          <w:footerReference w:type="default" r:id="rId11"/>
          <w:pgSz w:w="11906" w:h="16838" w:code="9"/>
          <w:pgMar w:top="2102" w:right="1417" w:bottom="1843" w:left="1417" w:header="709" w:footer="1395" w:gutter="0"/>
          <w:cols w:space="708"/>
          <w:docGrid w:linePitch="360"/>
        </w:sectPr>
      </w:pPr>
    </w:p>
    <w:p w14:paraId="1B48F19E" w14:textId="2AFFC849" w:rsidR="005F1EF3" w:rsidRDefault="005F1EF3" w:rsidP="005F1EF3">
      <w:pPr>
        <w:tabs>
          <w:tab w:val="left" w:pos="567"/>
          <w:tab w:val="left" w:pos="851"/>
          <w:tab w:val="left" w:pos="2400"/>
        </w:tabs>
        <w:rPr>
          <w:rFonts w:asciiTheme="majorHAnsi" w:hAnsiTheme="majorHAnsi" w:cs="Arial"/>
        </w:rPr>
      </w:pPr>
      <w:r w:rsidRPr="00DF6ED5">
        <w:rPr>
          <w:rFonts w:asciiTheme="majorHAnsi" w:hAnsiTheme="majorHAnsi" w:cs="Arial"/>
          <w:b/>
        </w:rPr>
        <w:t xml:space="preserve">Tisková zpráva </w:t>
      </w:r>
      <w:r w:rsidRPr="00DF6ED5">
        <w:rPr>
          <w:rFonts w:asciiTheme="majorHAnsi" w:hAnsiTheme="majorHAnsi" w:cs="Arial"/>
        </w:rPr>
        <w:t>|</w:t>
      </w:r>
      <w:r w:rsidR="00600125">
        <w:rPr>
          <w:rFonts w:asciiTheme="majorHAnsi" w:hAnsiTheme="majorHAnsi" w:cs="Arial"/>
        </w:rPr>
        <w:t>16</w:t>
      </w:r>
      <w:r w:rsidR="008831B9">
        <w:rPr>
          <w:rFonts w:asciiTheme="majorHAnsi" w:hAnsiTheme="majorHAnsi" w:cs="Arial"/>
        </w:rPr>
        <w:t xml:space="preserve">. </w:t>
      </w:r>
      <w:r w:rsidR="00600125">
        <w:rPr>
          <w:rFonts w:asciiTheme="majorHAnsi" w:hAnsiTheme="majorHAnsi" w:cs="Arial"/>
        </w:rPr>
        <w:t>2</w:t>
      </w:r>
      <w:r w:rsidR="008831B9">
        <w:rPr>
          <w:rFonts w:asciiTheme="majorHAnsi" w:hAnsiTheme="majorHAnsi" w:cs="Arial"/>
        </w:rPr>
        <w:t>. 2023</w:t>
      </w:r>
    </w:p>
    <w:p w14:paraId="5869FC8F" w14:textId="77777777" w:rsidR="005F1EF3" w:rsidRDefault="005F1EF3" w:rsidP="007538A1">
      <w:pPr>
        <w:tabs>
          <w:tab w:val="left" w:pos="567"/>
          <w:tab w:val="left" w:pos="851"/>
          <w:tab w:val="left" w:pos="2400"/>
        </w:tabs>
        <w:spacing w:line="360" w:lineRule="auto"/>
        <w:rPr>
          <w:rFonts w:asciiTheme="majorHAnsi" w:hAnsiTheme="majorHAnsi" w:cs="Arial"/>
        </w:rPr>
      </w:pPr>
    </w:p>
    <w:p w14:paraId="0FAA7FF3" w14:textId="5B1994D8" w:rsidR="0018589C" w:rsidRDefault="00600125" w:rsidP="002F206C">
      <w:pPr>
        <w:tabs>
          <w:tab w:val="left" w:pos="567"/>
          <w:tab w:val="left" w:pos="851"/>
          <w:tab w:val="left" w:pos="2400"/>
        </w:tabs>
        <w:spacing w:line="360" w:lineRule="auto"/>
        <w:jc w:val="center"/>
        <w:rPr>
          <w:rFonts w:asciiTheme="majorHAnsi" w:hAnsiTheme="majorHAnsi"/>
          <w:b/>
          <w:sz w:val="32"/>
          <w:szCs w:val="32"/>
        </w:rPr>
      </w:pPr>
      <w:r>
        <w:rPr>
          <w:rFonts w:asciiTheme="majorHAnsi" w:hAnsiTheme="majorHAnsi"/>
          <w:b/>
          <w:sz w:val="32"/>
          <w:szCs w:val="32"/>
        </w:rPr>
        <w:t>Nová publikace IDU se věnuje statusu umělce a umělkyně</w:t>
      </w:r>
    </w:p>
    <w:p w14:paraId="7F700D50" w14:textId="77777777" w:rsidR="002F206C" w:rsidRPr="007538A1" w:rsidRDefault="002F206C" w:rsidP="002F206C">
      <w:pPr>
        <w:tabs>
          <w:tab w:val="left" w:pos="567"/>
          <w:tab w:val="left" w:pos="851"/>
          <w:tab w:val="left" w:pos="2400"/>
        </w:tabs>
        <w:spacing w:line="360" w:lineRule="auto"/>
        <w:jc w:val="center"/>
        <w:rPr>
          <w:rFonts w:asciiTheme="majorHAnsi" w:hAnsiTheme="majorHAnsi"/>
          <w:b/>
        </w:rPr>
      </w:pPr>
    </w:p>
    <w:p w14:paraId="3DA7C452" w14:textId="399C2969" w:rsidR="005F1EF3" w:rsidRPr="007422D3" w:rsidRDefault="00600125" w:rsidP="0018589C">
      <w:pPr>
        <w:tabs>
          <w:tab w:val="left" w:pos="567"/>
          <w:tab w:val="left" w:pos="851"/>
          <w:tab w:val="left" w:pos="2400"/>
        </w:tabs>
        <w:spacing w:line="360" w:lineRule="auto"/>
        <w:jc w:val="both"/>
        <w:rPr>
          <w:rFonts w:asciiTheme="majorHAnsi" w:hAnsiTheme="majorHAnsi"/>
          <w:b/>
        </w:rPr>
      </w:pPr>
      <w:r w:rsidRPr="00600125">
        <w:rPr>
          <w:rFonts w:asciiTheme="majorHAnsi" w:hAnsiTheme="majorHAnsi"/>
          <w:b/>
        </w:rPr>
        <w:t xml:space="preserve">Institut umění – Divadelní ústav vydává publikaci </w:t>
      </w:r>
      <w:r w:rsidRPr="00600125">
        <w:rPr>
          <w:rFonts w:asciiTheme="majorHAnsi" w:hAnsiTheme="majorHAnsi"/>
          <w:b/>
          <w:i/>
        </w:rPr>
        <w:t>Status umělce, Příspěvky k diskuzi</w:t>
      </w:r>
      <w:r w:rsidRPr="00600125">
        <w:rPr>
          <w:rFonts w:asciiTheme="majorHAnsi" w:hAnsiTheme="majorHAnsi"/>
          <w:b/>
        </w:rPr>
        <w:t>, která ve čtyřech kapitolách představuje řadu argumentů, příkladů konkrétních řešení a přispívá tak k aktuální diskuzi o statusu umělce a umělkyně v ČR. Publikace vychází v rámci vědecko-výzkumného projektu, který se tématem zabývá.</w:t>
      </w:r>
    </w:p>
    <w:p w14:paraId="0FA5887A" w14:textId="77777777" w:rsidR="007422D3" w:rsidRPr="00DF6ED5" w:rsidRDefault="007422D3" w:rsidP="0018589C">
      <w:pPr>
        <w:tabs>
          <w:tab w:val="left" w:pos="567"/>
          <w:tab w:val="left" w:pos="851"/>
          <w:tab w:val="left" w:pos="2400"/>
        </w:tabs>
        <w:spacing w:line="360" w:lineRule="auto"/>
        <w:jc w:val="both"/>
        <w:rPr>
          <w:rFonts w:asciiTheme="majorHAnsi" w:hAnsiTheme="majorHAnsi" w:cs="Arial"/>
        </w:rPr>
      </w:pPr>
    </w:p>
    <w:p w14:paraId="46F75260" w14:textId="1E3FAA42" w:rsidR="00600125" w:rsidRPr="00600125" w:rsidRDefault="00600125" w:rsidP="00600125">
      <w:pPr>
        <w:spacing w:line="360" w:lineRule="auto"/>
        <w:jc w:val="both"/>
        <w:rPr>
          <w:rFonts w:asciiTheme="majorHAnsi" w:hAnsiTheme="majorHAnsi"/>
          <w:bCs/>
        </w:rPr>
      </w:pPr>
      <w:r w:rsidRPr="00600125">
        <w:rPr>
          <w:rFonts w:asciiTheme="majorHAnsi" w:hAnsiTheme="majorHAnsi"/>
          <w:bCs/>
        </w:rPr>
        <w:t xml:space="preserve">Publikace obsahuje čtyři kapitoly. První se věnuje mezinárodnímu kontextu a přináší přehled doporučení UNESCO a orgánů Evropské unie. Kapitola příklady ze zahraničí nabízí příklady řešící status umělce ve vybraných evropských zemích (Španělsko, Portugalsko, Rakousko, Irsko) i na úrovni EU a je de facto sborníkem mezinárodní konference Status umělce a umělkyně, která se konala v září 2022 v Praze. Další kapitola popisuje zakotvení statusu umělce v ČR a vybrané iniciativy českých organizací a sítí. </w:t>
      </w:r>
      <w:r w:rsidRPr="007538A1">
        <w:t>V</w:t>
      </w:r>
      <w:r w:rsidR="007538A1">
        <w:t> </w:t>
      </w:r>
      <w:r w:rsidRPr="007538A1">
        <w:t>neposlední</w:t>
      </w:r>
      <w:r w:rsidRPr="00600125">
        <w:rPr>
          <w:rFonts w:asciiTheme="majorHAnsi" w:hAnsiTheme="majorHAnsi"/>
          <w:bCs/>
        </w:rPr>
        <w:t xml:space="preserve"> řadě publikace obsahuje hlavní zjištění pilotního výzkumu věnovaného otázkám, jak funguje umělec na trhu práce ČR. Sondy do kariér profesionálních umělců nabízí řadu postřehů samotných umělců i jejich intepretaci v rámci širšího kontextu. Publikace nabízí i shrnutí podnětů pro aplikaci statusu umělce v ČR.</w:t>
      </w:r>
    </w:p>
    <w:p w14:paraId="192010C2" w14:textId="177055E0" w:rsidR="00600125" w:rsidRDefault="00600125" w:rsidP="00600125">
      <w:pPr>
        <w:spacing w:line="360" w:lineRule="auto"/>
        <w:jc w:val="both"/>
        <w:rPr>
          <w:rFonts w:asciiTheme="majorHAnsi" w:hAnsiTheme="majorHAnsi"/>
          <w:bCs/>
        </w:rPr>
      </w:pPr>
      <w:r w:rsidRPr="007538A1">
        <w:rPr>
          <w:rFonts w:asciiTheme="majorHAnsi" w:hAnsiTheme="majorHAnsi"/>
          <w:bCs/>
          <w:i/>
        </w:rPr>
        <w:t>Status umělce, Příspěvky k diskuzi</w:t>
      </w:r>
      <w:r w:rsidRPr="00600125">
        <w:rPr>
          <w:rFonts w:asciiTheme="majorHAnsi" w:hAnsiTheme="majorHAnsi"/>
          <w:bCs/>
        </w:rPr>
        <w:t xml:space="preserve"> vychází jako e-publikace a lze ji bezplatně stáhnout </w:t>
      </w:r>
      <w:r w:rsidR="007538A1">
        <w:rPr>
          <w:rFonts w:asciiTheme="majorHAnsi" w:hAnsiTheme="majorHAnsi"/>
          <w:bCs/>
        </w:rPr>
        <w:br/>
      </w:r>
      <w:r w:rsidRPr="00600125">
        <w:rPr>
          <w:rFonts w:asciiTheme="majorHAnsi" w:hAnsiTheme="majorHAnsi"/>
          <w:bCs/>
        </w:rPr>
        <w:t>na</w:t>
      </w:r>
      <w:r w:rsidR="007538A1">
        <w:rPr>
          <w:rFonts w:asciiTheme="majorHAnsi" w:hAnsiTheme="majorHAnsi"/>
          <w:bCs/>
        </w:rPr>
        <w:t xml:space="preserve"> </w:t>
      </w:r>
      <w:hyperlink r:id="rId12" w:history="1">
        <w:r>
          <w:rPr>
            <w:rStyle w:val="Hypertextovodkaz"/>
            <w:rFonts w:asciiTheme="majorHAnsi" w:hAnsiTheme="majorHAnsi"/>
            <w:bCs/>
          </w:rPr>
          <w:t xml:space="preserve">online knihkupectví </w:t>
        </w:r>
        <w:proofErr w:type="spellStart"/>
        <w:r>
          <w:rPr>
            <w:rStyle w:val="Hypertextovodkaz"/>
            <w:rFonts w:asciiTheme="majorHAnsi" w:hAnsiTheme="majorHAnsi"/>
            <w:bCs/>
          </w:rPr>
          <w:t>Prospero</w:t>
        </w:r>
        <w:proofErr w:type="spellEnd"/>
      </w:hyperlink>
      <w:r>
        <w:rPr>
          <w:rFonts w:asciiTheme="majorHAnsi" w:hAnsiTheme="majorHAnsi"/>
          <w:bCs/>
        </w:rPr>
        <w:t>.</w:t>
      </w:r>
    </w:p>
    <w:p w14:paraId="43680ADF" w14:textId="77777777" w:rsidR="00600125" w:rsidRPr="00600125" w:rsidRDefault="00600125" w:rsidP="00600125">
      <w:pPr>
        <w:spacing w:line="360" w:lineRule="auto"/>
        <w:jc w:val="both"/>
        <w:rPr>
          <w:rFonts w:asciiTheme="majorHAnsi" w:hAnsiTheme="majorHAnsi"/>
          <w:bCs/>
        </w:rPr>
      </w:pPr>
    </w:p>
    <w:p w14:paraId="7E2F9AD2" w14:textId="77777777" w:rsidR="00600125" w:rsidRPr="00600125" w:rsidRDefault="00000000" w:rsidP="00600125">
      <w:pPr>
        <w:spacing w:line="360" w:lineRule="auto"/>
        <w:jc w:val="both"/>
        <w:rPr>
          <w:rFonts w:asciiTheme="majorHAnsi" w:hAnsiTheme="majorHAnsi"/>
          <w:bCs/>
        </w:rPr>
      </w:pPr>
      <w:hyperlink r:id="rId13" w:history="1">
        <w:r w:rsidR="00600125" w:rsidRPr="00600125">
          <w:rPr>
            <w:rStyle w:val="Hypertextovodkaz"/>
            <w:rFonts w:asciiTheme="majorHAnsi" w:hAnsiTheme="majorHAnsi"/>
            <w:bCs/>
          </w:rPr>
          <w:t>Publikace ke stažení</w:t>
        </w:r>
      </w:hyperlink>
    </w:p>
    <w:p w14:paraId="0A6E1326" w14:textId="77777777" w:rsidR="00600125" w:rsidRDefault="00600125" w:rsidP="00600125">
      <w:pPr>
        <w:spacing w:line="360" w:lineRule="auto"/>
        <w:jc w:val="both"/>
        <w:rPr>
          <w:rFonts w:asciiTheme="majorHAnsi" w:hAnsiTheme="majorHAnsi"/>
          <w:bCs/>
        </w:rPr>
      </w:pPr>
    </w:p>
    <w:p w14:paraId="03535AE9" w14:textId="0D81EDC7" w:rsidR="00600125" w:rsidRDefault="00600125" w:rsidP="00600125">
      <w:pPr>
        <w:spacing w:line="360" w:lineRule="auto"/>
        <w:jc w:val="both"/>
        <w:rPr>
          <w:rFonts w:asciiTheme="majorHAnsi" w:hAnsiTheme="majorHAnsi"/>
          <w:bCs/>
        </w:rPr>
      </w:pPr>
      <w:r w:rsidRPr="00600125">
        <w:rPr>
          <w:rFonts w:asciiTheme="majorHAnsi" w:hAnsiTheme="majorHAnsi"/>
          <w:bCs/>
        </w:rPr>
        <w:t xml:space="preserve">Téma statusu umělce a umělkyně v České republice bylo zařazeno do </w:t>
      </w:r>
      <w:hyperlink r:id="rId14" w:history="1">
        <w:r w:rsidRPr="00600125">
          <w:rPr>
            <w:rStyle w:val="Hypertextovodkaz"/>
            <w:rFonts w:asciiTheme="majorHAnsi" w:hAnsiTheme="majorHAnsi"/>
            <w:bCs/>
          </w:rPr>
          <w:t xml:space="preserve">Státní kulturní politiky ČR </w:t>
        </w:r>
        <w:proofErr w:type="gramStart"/>
        <w:r w:rsidRPr="00600125">
          <w:rPr>
            <w:rStyle w:val="Hypertextovodkaz"/>
            <w:rFonts w:asciiTheme="majorHAnsi" w:hAnsiTheme="majorHAnsi"/>
            <w:bCs/>
          </w:rPr>
          <w:t>2021 – 2025</w:t>
        </w:r>
        <w:proofErr w:type="gramEnd"/>
      </w:hyperlink>
      <w:r w:rsidRPr="00600125">
        <w:rPr>
          <w:rFonts w:asciiTheme="majorHAnsi" w:hAnsiTheme="majorHAnsi"/>
          <w:bCs/>
        </w:rPr>
        <w:t xml:space="preserve"> jako jeden z úkolů v rámci komponenty Rozvoj kulturního a</w:t>
      </w:r>
      <w:r w:rsidR="007538A1">
        <w:rPr>
          <w:rFonts w:asciiTheme="majorHAnsi" w:hAnsiTheme="majorHAnsi"/>
          <w:bCs/>
        </w:rPr>
        <w:t xml:space="preserve"> </w:t>
      </w:r>
      <w:r w:rsidRPr="00600125">
        <w:rPr>
          <w:rFonts w:asciiTheme="majorHAnsi" w:hAnsiTheme="majorHAnsi"/>
          <w:bCs/>
        </w:rPr>
        <w:t xml:space="preserve">kreativního sektoru Národního plánu obnovy. IDU se tématu věnuje již od roku 2019, kdy ho na pověření vedení Ministerstva kultury České republiky zařadil mezi své výzkumné úkoly coby dílčí výzkumný cíl v rámci dlouhodobé koncepce rozvoje výzkumu na období </w:t>
      </w:r>
      <w:proofErr w:type="gramStart"/>
      <w:r w:rsidRPr="00600125">
        <w:rPr>
          <w:rFonts w:asciiTheme="majorHAnsi" w:hAnsiTheme="majorHAnsi"/>
          <w:bCs/>
        </w:rPr>
        <w:lastRenderedPageBreak/>
        <w:t>2019 – 2023</w:t>
      </w:r>
      <w:proofErr w:type="gramEnd"/>
      <w:r w:rsidRPr="00600125">
        <w:rPr>
          <w:rFonts w:asciiTheme="majorHAnsi" w:hAnsiTheme="majorHAnsi"/>
          <w:bCs/>
        </w:rPr>
        <w:t xml:space="preserve"> v oblasti Kulturní politiky. První podkladový materiál vznikl v roce 2020 a</w:t>
      </w:r>
      <w:r w:rsidR="007538A1">
        <w:rPr>
          <w:rFonts w:asciiTheme="majorHAnsi" w:hAnsiTheme="majorHAnsi"/>
          <w:bCs/>
        </w:rPr>
        <w:t> </w:t>
      </w:r>
      <w:r w:rsidRPr="00600125">
        <w:rPr>
          <w:rFonts w:asciiTheme="majorHAnsi" w:hAnsiTheme="majorHAnsi"/>
          <w:bCs/>
        </w:rPr>
        <w:t xml:space="preserve">v následujících letech IDU organizoval a podílel se na několika setkáních profesních asociací MK ČR. V září 2022 IDU organizoval ve spolupráci s MK ČR mezinárodní konferenci </w:t>
      </w:r>
      <w:hyperlink r:id="rId15" w:history="1">
        <w:proofErr w:type="gramStart"/>
        <w:r w:rsidRPr="00600125">
          <w:rPr>
            <w:rStyle w:val="Hypertextovodkaz"/>
            <w:rFonts w:asciiTheme="majorHAnsi" w:hAnsiTheme="majorHAnsi"/>
            <w:bCs/>
          </w:rPr>
          <w:t>Střed</w:t>
        </w:r>
        <w:proofErr w:type="gramEnd"/>
        <w:r w:rsidRPr="00600125">
          <w:rPr>
            <w:rStyle w:val="Hypertextovodkaz"/>
            <w:rFonts w:asciiTheme="majorHAnsi" w:hAnsiTheme="majorHAnsi"/>
            <w:bCs/>
          </w:rPr>
          <w:t xml:space="preserve"> zájmu: Status umělce a umělkyně</w:t>
        </w:r>
      </w:hyperlink>
      <w:r w:rsidRPr="00600125">
        <w:rPr>
          <w:rFonts w:asciiTheme="majorHAnsi" w:hAnsiTheme="majorHAnsi"/>
          <w:bCs/>
        </w:rPr>
        <w:t>, na níž byly představeny příklady řešení statusu umělců a umělkyň ve vybraných evropských zemích.</w:t>
      </w:r>
    </w:p>
    <w:p w14:paraId="4C6F00E1" w14:textId="77777777" w:rsidR="00600125" w:rsidRPr="00600125" w:rsidRDefault="00600125" w:rsidP="00600125">
      <w:pPr>
        <w:spacing w:line="360" w:lineRule="auto"/>
        <w:jc w:val="both"/>
        <w:rPr>
          <w:rFonts w:asciiTheme="majorHAnsi" w:hAnsiTheme="majorHAnsi"/>
          <w:bCs/>
        </w:rPr>
      </w:pPr>
    </w:p>
    <w:p w14:paraId="2FD3506C" w14:textId="7EF3468C" w:rsidR="00600125" w:rsidRPr="00C13BCB" w:rsidRDefault="00C13BCB" w:rsidP="00600125">
      <w:pPr>
        <w:spacing w:line="360" w:lineRule="auto"/>
        <w:jc w:val="both"/>
        <w:rPr>
          <w:rStyle w:val="Hypertextovodkaz"/>
          <w:rFonts w:asciiTheme="majorHAnsi" w:hAnsiTheme="majorHAnsi"/>
          <w:bCs/>
        </w:rPr>
      </w:pPr>
      <w:r>
        <w:rPr>
          <w:rFonts w:asciiTheme="majorHAnsi" w:hAnsiTheme="majorHAnsi"/>
          <w:bCs/>
        </w:rPr>
        <w:fldChar w:fldCharType="begin"/>
      </w:r>
      <w:r>
        <w:rPr>
          <w:rFonts w:asciiTheme="majorHAnsi" w:hAnsiTheme="majorHAnsi"/>
          <w:bCs/>
        </w:rPr>
        <w:instrText xml:space="preserve"> HYPERLINK "https://youtube.com/playlist?list=PLb1qp1_-UlhSV9fr11h1qGxQ7dCDAhoD7" </w:instrText>
      </w:r>
      <w:r>
        <w:rPr>
          <w:rFonts w:asciiTheme="majorHAnsi" w:hAnsiTheme="majorHAnsi"/>
          <w:bCs/>
        </w:rPr>
      </w:r>
      <w:r>
        <w:rPr>
          <w:rFonts w:asciiTheme="majorHAnsi" w:hAnsiTheme="majorHAnsi"/>
          <w:bCs/>
        </w:rPr>
        <w:fldChar w:fldCharType="separate"/>
      </w:r>
      <w:r w:rsidR="00600125" w:rsidRPr="00C13BCB">
        <w:rPr>
          <w:rStyle w:val="Hypertextovodkaz"/>
          <w:rFonts w:asciiTheme="majorHAnsi" w:hAnsiTheme="majorHAnsi"/>
          <w:bCs/>
        </w:rPr>
        <w:t>Záznam konfer</w:t>
      </w:r>
      <w:r w:rsidR="00600125" w:rsidRPr="00C13BCB">
        <w:rPr>
          <w:rStyle w:val="Hypertextovodkaz"/>
          <w:rFonts w:asciiTheme="majorHAnsi" w:hAnsiTheme="majorHAnsi"/>
          <w:bCs/>
        </w:rPr>
        <w:t>ence</w:t>
      </w:r>
    </w:p>
    <w:p w14:paraId="6C897076" w14:textId="62123E2C" w:rsidR="00600125" w:rsidRPr="00600125" w:rsidRDefault="00C13BCB" w:rsidP="00600125">
      <w:pPr>
        <w:spacing w:line="360" w:lineRule="auto"/>
        <w:jc w:val="both"/>
        <w:rPr>
          <w:rFonts w:asciiTheme="majorHAnsi" w:hAnsiTheme="majorHAnsi"/>
          <w:bCs/>
        </w:rPr>
      </w:pPr>
      <w:r>
        <w:rPr>
          <w:rFonts w:asciiTheme="majorHAnsi" w:hAnsiTheme="majorHAnsi"/>
          <w:bCs/>
        </w:rPr>
        <w:fldChar w:fldCharType="end"/>
      </w:r>
    </w:p>
    <w:p w14:paraId="0D468D6B" w14:textId="12CE6763" w:rsidR="00600125" w:rsidRDefault="00000000" w:rsidP="0018589C">
      <w:pPr>
        <w:spacing w:line="360" w:lineRule="auto"/>
        <w:jc w:val="both"/>
        <w:rPr>
          <w:rFonts w:asciiTheme="majorHAnsi" w:hAnsiTheme="majorHAnsi"/>
          <w:bCs/>
        </w:rPr>
      </w:pPr>
      <w:hyperlink r:id="rId16" w:history="1">
        <w:r w:rsidR="00600125" w:rsidRPr="00600125">
          <w:rPr>
            <w:rStyle w:val="Hypertextovodkaz"/>
            <w:rFonts w:asciiTheme="majorHAnsi" w:hAnsiTheme="majorHAnsi"/>
            <w:bCs/>
          </w:rPr>
          <w:t>Výzkumný projekt</w:t>
        </w:r>
        <w:r w:rsidR="00600125">
          <w:rPr>
            <w:rStyle w:val="Hypertextovodkaz"/>
            <w:rFonts w:asciiTheme="majorHAnsi" w:hAnsiTheme="majorHAnsi"/>
            <w:bCs/>
          </w:rPr>
          <w:t xml:space="preserve"> IDU:</w:t>
        </w:r>
        <w:r w:rsidR="00600125" w:rsidRPr="00600125">
          <w:rPr>
            <w:rStyle w:val="Hypertextovodkaz"/>
            <w:rFonts w:asciiTheme="majorHAnsi" w:hAnsiTheme="majorHAnsi"/>
            <w:bCs/>
          </w:rPr>
          <w:t xml:space="preserve"> Status umělce</w:t>
        </w:r>
      </w:hyperlink>
    </w:p>
    <w:p w14:paraId="0D2AFF4F" w14:textId="77777777" w:rsidR="00600125" w:rsidRPr="00600125" w:rsidRDefault="00600125" w:rsidP="0018589C">
      <w:pPr>
        <w:spacing w:line="360" w:lineRule="auto"/>
        <w:jc w:val="both"/>
        <w:rPr>
          <w:rFonts w:asciiTheme="majorHAnsi" w:hAnsiTheme="majorHAnsi"/>
          <w:bCs/>
        </w:rPr>
      </w:pPr>
    </w:p>
    <w:p w14:paraId="0A8A82E7" w14:textId="5E705310" w:rsidR="005C1EB8" w:rsidRPr="0018589C" w:rsidRDefault="005C1EB8" w:rsidP="0018589C">
      <w:pPr>
        <w:spacing w:line="360" w:lineRule="auto"/>
        <w:jc w:val="both"/>
        <w:rPr>
          <w:rFonts w:asciiTheme="majorHAnsi" w:hAnsiTheme="majorHAnsi" w:cs="Arial"/>
          <w:color w:val="222222"/>
        </w:rPr>
      </w:pPr>
      <w:r w:rsidRPr="0018589C">
        <w:rPr>
          <w:rFonts w:asciiTheme="majorHAnsi" w:hAnsiTheme="majorHAnsi" w:cs="Arial"/>
          <w:b/>
          <w:bCs/>
          <w:color w:val="222222"/>
        </w:rPr>
        <w:t>Kontakt</w:t>
      </w:r>
      <w:r w:rsidR="0018589C" w:rsidRPr="0018589C">
        <w:rPr>
          <w:rFonts w:asciiTheme="majorHAnsi" w:hAnsiTheme="majorHAnsi" w:cs="Arial"/>
          <w:b/>
          <w:bCs/>
          <w:color w:val="222222"/>
        </w:rPr>
        <w:t>:</w:t>
      </w:r>
      <w:r w:rsidR="0018589C">
        <w:rPr>
          <w:rFonts w:asciiTheme="majorHAnsi" w:hAnsiTheme="majorHAnsi" w:cs="Arial"/>
          <w:color w:val="222222"/>
        </w:rPr>
        <w:t xml:space="preserve"> </w:t>
      </w:r>
      <w:r w:rsidRPr="00DF6ED5">
        <w:rPr>
          <w:rFonts w:asciiTheme="majorHAnsi" w:hAnsiTheme="majorHAnsi" w:cs="Arial"/>
          <w:color w:val="222222"/>
        </w:rPr>
        <w:t xml:space="preserve">Anna Poláková, </w:t>
      </w:r>
      <w:hyperlink r:id="rId17" w:history="1">
        <w:r w:rsidRPr="00DF6ED5">
          <w:rPr>
            <w:rStyle w:val="Hypertextovodkaz"/>
            <w:rFonts w:asciiTheme="majorHAnsi" w:hAnsiTheme="majorHAnsi" w:cs="Arial"/>
          </w:rPr>
          <w:t>anna.polakova@idu.cz</w:t>
        </w:r>
      </w:hyperlink>
      <w:r w:rsidRPr="00DF6ED5">
        <w:rPr>
          <w:rFonts w:asciiTheme="majorHAnsi" w:hAnsiTheme="majorHAnsi" w:cs="Arial"/>
          <w:color w:val="222222"/>
        </w:rPr>
        <w:t>, +420 721 431 516</w:t>
      </w:r>
    </w:p>
    <w:sectPr w:rsidR="005C1EB8" w:rsidRPr="0018589C" w:rsidSect="001509A3">
      <w:type w:val="continuous"/>
      <w:pgSz w:w="11906" w:h="16838" w:code="9"/>
      <w:pgMar w:top="2102" w:right="1417" w:bottom="1843" w:left="1417" w:header="709" w:footer="139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17CB" w14:textId="77777777" w:rsidR="00716F99" w:rsidRDefault="00716F99" w:rsidP="00467ABE">
      <w:r>
        <w:separator/>
      </w:r>
    </w:p>
  </w:endnote>
  <w:endnote w:type="continuationSeparator" w:id="0">
    <w:p w14:paraId="6AC6DF2B" w14:textId="77777777" w:rsidR="00716F99" w:rsidRDefault="00716F99" w:rsidP="004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A88B" w14:textId="77777777" w:rsidR="00467ABE" w:rsidRDefault="00467ABE">
    <w:pPr>
      <w:pStyle w:val="Zpat"/>
    </w:pPr>
    <w:r w:rsidRPr="00467ABE">
      <w:rPr>
        <w:noProof/>
      </w:rPr>
      <w:drawing>
        <wp:anchor distT="0" distB="0" distL="114300" distR="114300" simplePos="0" relativeHeight="251661312" behindDoc="1" locked="0" layoutInCell="1" allowOverlap="1" wp14:anchorId="10219378" wp14:editId="73232EB8">
          <wp:simplePos x="0" y="0"/>
          <wp:positionH relativeFrom="column">
            <wp:posOffset>-899795</wp:posOffset>
          </wp:positionH>
          <wp:positionV relativeFrom="paragraph">
            <wp:posOffset>118110</wp:posOffset>
          </wp:positionV>
          <wp:extent cx="7553325" cy="923925"/>
          <wp:effectExtent l="1905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t="91347"/>
                  <a:stretch>
                    <a:fillRect/>
                  </a:stretch>
                </pic:blipFill>
                <pic:spPr bwMode="auto">
                  <a:xfrm>
                    <a:off x="0" y="0"/>
                    <a:ext cx="7553325" cy="9239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84BF6" w14:textId="77777777" w:rsidR="00716F99" w:rsidRDefault="00716F99" w:rsidP="00467ABE">
      <w:r>
        <w:separator/>
      </w:r>
    </w:p>
  </w:footnote>
  <w:footnote w:type="continuationSeparator" w:id="0">
    <w:p w14:paraId="01785ADE" w14:textId="77777777" w:rsidR="00716F99" w:rsidRDefault="00716F99" w:rsidP="0046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CDB4" w14:textId="77777777" w:rsidR="00467ABE" w:rsidRDefault="00467ABE">
    <w:pPr>
      <w:pStyle w:val="Zhlav"/>
    </w:pPr>
    <w:r w:rsidRPr="00467ABE">
      <w:rPr>
        <w:noProof/>
      </w:rPr>
      <w:drawing>
        <wp:anchor distT="0" distB="0" distL="114300" distR="114300" simplePos="0" relativeHeight="251659264" behindDoc="1" locked="0" layoutInCell="1" allowOverlap="1" wp14:anchorId="3908C4E9" wp14:editId="2076FF01">
          <wp:simplePos x="0" y="0"/>
          <wp:positionH relativeFrom="column">
            <wp:posOffset>-899795</wp:posOffset>
          </wp:positionH>
          <wp:positionV relativeFrom="paragraph">
            <wp:posOffset>-450215</wp:posOffset>
          </wp:positionV>
          <wp:extent cx="7553325" cy="1314450"/>
          <wp:effectExtent l="19050" t="0" r="952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Desktop:IDU - materiály FINAL:preview:hlavickovy papir2.jpg"/>
                  <pic:cNvPicPr>
                    <a:picLocks noChangeAspect="1" noChangeArrowheads="1"/>
                  </pic:cNvPicPr>
                </pic:nvPicPr>
                <pic:blipFill>
                  <a:blip r:embed="rId1">
                    <a:extLst>
                      <a:ext uri="{28A0092B-C50C-407E-A947-70E740481C1C}">
                        <a14:useLocalDpi xmlns:a14="http://schemas.microsoft.com/office/drawing/2010/main" val="0"/>
                      </a:ext>
                    </a:extLst>
                  </a:blip>
                  <a:srcRect b="87690"/>
                  <a:stretch>
                    <a:fillRect/>
                  </a:stretch>
                </pic:blipFill>
                <pic:spPr bwMode="auto">
                  <a:xfrm>
                    <a:off x="0" y="0"/>
                    <a:ext cx="7553325" cy="13144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F3"/>
    <w:rsid w:val="00022B3B"/>
    <w:rsid w:val="00060062"/>
    <w:rsid w:val="000A466C"/>
    <w:rsid w:val="001509A3"/>
    <w:rsid w:val="001635F2"/>
    <w:rsid w:val="001819A3"/>
    <w:rsid w:val="0018589C"/>
    <w:rsid w:val="00197634"/>
    <w:rsid w:val="001C0564"/>
    <w:rsid w:val="002052AE"/>
    <w:rsid w:val="002130A5"/>
    <w:rsid w:val="00276BD3"/>
    <w:rsid w:val="002F206C"/>
    <w:rsid w:val="00306A03"/>
    <w:rsid w:val="003649FF"/>
    <w:rsid w:val="00372BEB"/>
    <w:rsid w:val="003D3A31"/>
    <w:rsid w:val="00445252"/>
    <w:rsid w:val="00452DE3"/>
    <w:rsid w:val="00467ABE"/>
    <w:rsid w:val="005C1EB8"/>
    <w:rsid w:val="005C784E"/>
    <w:rsid w:val="005F1EF3"/>
    <w:rsid w:val="00600125"/>
    <w:rsid w:val="006534DD"/>
    <w:rsid w:val="00675C9A"/>
    <w:rsid w:val="006C0A8E"/>
    <w:rsid w:val="00702F0D"/>
    <w:rsid w:val="00716F99"/>
    <w:rsid w:val="007422D3"/>
    <w:rsid w:val="007538A1"/>
    <w:rsid w:val="007C1044"/>
    <w:rsid w:val="007E2965"/>
    <w:rsid w:val="0080359C"/>
    <w:rsid w:val="008827C9"/>
    <w:rsid w:val="008831B9"/>
    <w:rsid w:val="008D6E77"/>
    <w:rsid w:val="008F0CA5"/>
    <w:rsid w:val="009B113D"/>
    <w:rsid w:val="009C3B87"/>
    <w:rsid w:val="009D2536"/>
    <w:rsid w:val="009E3143"/>
    <w:rsid w:val="00A70C30"/>
    <w:rsid w:val="00AC57F5"/>
    <w:rsid w:val="00AD00E0"/>
    <w:rsid w:val="00B0214D"/>
    <w:rsid w:val="00BC4D31"/>
    <w:rsid w:val="00BC5063"/>
    <w:rsid w:val="00BE36CB"/>
    <w:rsid w:val="00C13BCB"/>
    <w:rsid w:val="00C51C4D"/>
    <w:rsid w:val="00C51E12"/>
    <w:rsid w:val="00C96A7E"/>
    <w:rsid w:val="00CC0AA1"/>
    <w:rsid w:val="00CC4600"/>
    <w:rsid w:val="00CD0F2C"/>
    <w:rsid w:val="00DC6F84"/>
    <w:rsid w:val="00DE140A"/>
    <w:rsid w:val="00E37F13"/>
    <w:rsid w:val="00E43FE4"/>
    <w:rsid w:val="00E813B7"/>
    <w:rsid w:val="00E8782B"/>
    <w:rsid w:val="00E9069D"/>
    <w:rsid w:val="00F05A11"/>
    <w:rsid w:val="00F26223"/>
    <w:rsid w:val="00FC55E9"/>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411C"/>
  <w15:docId w15:val="{404D1662-C601-4640-B275-083D795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1E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67ABE"/>
    <w:pPr>
      <w:tabs>
        <w:tab w:val="center" w:pos="4536"/>
        <w:tab w:val="right" w:pos="9072"/>
      </w:tabs>
    </w:pPr>
  </w:style>
  <w:style w:type="character" w:customStyle="1" w:styleId="ZhlavChar">
    <w:name w:val="Záhlaví Char"/>
    <w:basedOn w:val="Standardnpsmoodstavce"/>
    <w:link w:val="Zhlav"/>
    <w:uiPriority w:val="99"/>
    <w:semiHidden/>
    <w:rsid w:val="00467ABE"/>
  </w:style>
  <w:style w:type="paragraph" w:styleId="Zpat">
    <w:name w:val="footer"/>
    <w:basedOn w:val="Normln"/>
    <w:link w:val="ZpatChar"/>
    <w:uiPriority w:val="99"/>
    <w:semiHidden/>
    <w:unhideWhenUsed/>
    <w:rsid w:val="00467ABE"/>
    <w:pPr>
      <w:tabs>
        <w:tab w:val="center" w:pos="4536"/>
        <w:tab w:val="right" w:pos="9072"/>
      </w:tabs>
    </w:pPr>
  </w:style>
  <w:style w:type="character" w:customStyle="1" w:styleId="ZpatChar">
    <w:name w:val="Zápatí Char"/>
    <w:basedOn w:val="Standardnpsmoodstavce"/>
    <w:link w:val="Zpat"/>
    <w:uiPriority w:val="99"/>
    <w:semiHidden/>
    <w:rsid w:val="00467ABE"/>
  </w:style>
  <w:style w:type="character" w:styleId="Hypertextovodkaz">
    <w:name w:val="Hyperlink"/>
    <w:basedOn w:val="Standardnpsmoodstavce"/>
    <w:uiPriority w:val="99"/>
    <w:unhideWhenUsed/>
    <w:rsid w:val="00F05A11"/>
    <w:rPr>
      <w:color w:val="0000FF" w:themeColor="hyperlink"/>
      <w:u w:val="single"/>
    </w:rPr>
  </w:style>
  <w:style w:type="character" w:styleId="Nevyeenzmnka">
    <w:name w:val="Unresolved Mention"/>
    <w:basedOn w:val="Standardnpsmoodstavce"/>
    <w:uiPriority w:val="99"/>
    <w:semiHidden/>
    <w:unhideWhenUsed/>
    <w:rsid w:val="00F05A11"/>
    <w:rPr>
      <w:color w:val="605E5C"/>
      <w:shd w:val="clear" w:color="auto" w:fill="E1DFDD"/>
    </w:rPr>
  </w:style>
  <w:style w:type="paragraph" w:styleId="Revize">
    <w:name w:val="Revision"/>
    <w:hidden/>
    <w:uiPriority w:val="99"/>
    <w:semiHidden/>
    <w:rsid w:val="0080359C"/>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2965"/>
    <w:rPr>
      <w:b/>
      <w:bCs/>
    </w:rPr>
  </w:style>
  <w:style w:type="character" w:styleId="Sledovanodkaz">
    <w:name w:val="FollowedHyperlink"/>
    <w:basedOn w:val="Standardnpsmoodstavce"/>
    <w:uiPriority w:val="99"/>
    <w:semiHidden/>
    <w:unhideWhenUsed/>
    <w:rsid w:val="00BC5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spero.idu.cz/publikace/status-umelce-prispevky-k-disku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spero.idu.cz/publikace/status-umelce-prispevky-k-diskusi/" TargetMode="External"/><Relationship Id="rId17" Type="http://schemas.openxmlformats.org/officeDocument/2006/relationships/hyperlink" Target="mailto:anna.polakova@idu.cz" TargetMode="External"/><Relationship Id="rId2" Type="http://schemas.openxmlformats.org/officeDocument/2006/relationships/customXml" Target="../customXml/item2.xml"/><Relationship Id="rId16" Type="http://schemas.openxmlformats.org/officeDocument/2006/relationships/hyperlink" Target="https://www.idu.cz/cs/o-nas/veda-a-vyzkum/vedeckovyzkumne-projekty/1906-status-umel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du.cz/cs/aktualne/kalendar-akci/3313-mezinarodni-konference-status-umelce-a-umelkyn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mkcr.cz/statni-kulturni-politika-69.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ul\Downloads\Hlavi&#269;kov&#253;%20pap&#237;r%20IDU_GOLDI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AE601CD461C44BB12BCC1D57C2986B" ma:contentTypeVersion="11" ma:contentTypeDescription="Vytvoří nový dokument" ma:contentTypeScope="" ma:versionID="4e97c442976bd348e99320d6496e2452">
  <xsd:schema xmlns:xsd="http://www.w3.org/2001/XMLSchema" xmlns:xs="http://www.w3.org/2001/XMLSchema" xmlns:p="http://schemas.microsoft.com/office/2006/metadata/properties" xmlns:ns3="1c4bd29b-d5a1-4f97-b869-3c477705ac72" targetNamespace="http://schemas.microsoft.com/office/2006/metadata/properties" ma:root="true" ma:fieldsID="a212a8bd72de94cecbbe551d51a54bab" ns3:_="">
    <xsd:import namespace="1c4bd29b-d5a1-4f97-b869-3c477705ac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bd29b-d5a1-4f97-b869-3c477705a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4B6CE-297D-42F9-9D2E-3BA9D5CE9C1F}">
  <ds:schemaRefs>
    <ds:schemaRef ds:uri="http://schemas.openxmlformats.org/officeDocument/2006/bibliography"/>
  </ds:schemaRefs>
</ds:datastoreItem>
</file>

<file path=customXml/itemProps2.xml><?xml version="1.0" encoding="utf-8"?>
<ds:datastoreItem xmlns:ds="http://schemas.openxmlformats.org/officeDocument/2006/customXml" ds:itemID="{0FFADF5B-A95C-4CC6-B8D3-AAB1D143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bd29b-d5a1-4f97-b869-3c477705a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4C5FB-82FD-4A8B-836B-F96C424C3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BBCA9-710B-4ADD-88AA-1D2BC6B1D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 IDU_GOLDIE</Template>
  <TotalTime>15</TotalTime>
  <Pages>2</Pages>
  <Words>418</Words>
  <Characters>2472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Poláková</dc:creator>
  <cp:lastModifiedBy>andulapolakova@gmail.com</cp:lastModifiedBy>
  <cp:revision>4</cp:revision>
  <cp:lastPrinted>2022-02-17T10:06:00Z</cp:lastPrinted>
  <dcterms:created xsi:type="dcterms:W3CDTF">2023-02-15T12:31:00Z</dcterms:created>
  <dcterms:modified xsi:type="dcterms:W3CDTF">2023-02-16T10:56:00Z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0x0101005AAE601CD461C44BB12BCC1D57C2986B</vt:lpwstr>
  </property>
</Properties>
</file>