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D08E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2D7B7FC8" w14:textId="71983988" w:rsidR="005A22CA" w:rsidRPr="007A30CB" w:rsidRDefault="005A22CA" w:rsidP="005A22C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0C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Tisková zpráva</w:t>
      </w:r>
      <w:r w:rsidRPr="007A30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|1</w:t>
      </w:r>
      <w:r w:rsidR="005C3A88" w:rsidRPr="007A30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7</w:t>
      </w:r>
      <w:r w:rsidRPr="007A30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4. 2024</w:t>
      </w:r>
      <w:r w:rsidRPr="007A30C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E1DE1D" w14:textId="77777777" w:rsidR="005A22CA" w:rsidRPr="00E1341E" w:rsidRDefault="005A22CA" w:rsidP="005A22C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1341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4ACAA0" w14:textId="507A685B" w:rsidR="0001797F" w:rsidRPr="007A30CB" w:rsidRDefault="00EA6A1A" w:rsidP="007A30C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 w:rsidRPr="007A30CB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Mezinárodní konference završila výzkum věnovaný dopadu pandemie </w:t>
      </w:r>
      <w:proofErr w:type="spellStart"/>
      <w:r w:rsidRPr="007A30CB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covidu</w:t>
      </w:r>
      <w:proofErr w:type="spellEnd"/>
      <w:r w:rsidRPr="007A30CB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na</w:t>
      </w:r>
      <w:r w:rsidR="007A30CB" w:rsidRPr="007A30CB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7A30CB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kulturní sektor a změny v jeho fungování a pojmenovala aktuální výzvy</w:t>
      </w:r>
    </w:p>
    <w:p w14:paraId="33C95B27" w14:textId="77777777" w:rsidR="00EA6A1A" w:rsidRPr="007A30CB" w:rsidRDefault="00EA6A1A" w:rsidP="007A30CB">
      <w:pPr>
        <w:spacing w:after="160" w:line="360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14:paraId="726BA064" w14:textId="0AFE97D3" w:rsidR="007A30CB" w:rsidRPr="007A30CB" w:rsidRDefault="007A30CB" w:rsidP="007A30CB">
      <w:pPr>
        <w:spacing w:after="160" w:line="360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7A30CB">
        <w:rPr>
          <w:rFonts w:ascii="Calibri" w:eastAsia="Times New Roman" w:hAnsi="Calibri" w:cs="Calibri"/>
          <w:b/>
          <w:color w:val="000000"/>
          <w:lang w:eastAsia="cs-CZ"/>
        </w:rPr>
        <w:t xml:space="preserve">Konference Umělci a kultura po </w:t>
      </w:r>
      <w:proofErr w:type="spellStart"/>
      <w:r w:rsidRPr="007A30CB">
        <w:rPr>
          <w:rFonts w:ascii="Calibri" w:eastAsia="Times New Roman" w:hAnsi="Calibri" w:cs="Calibri"/>
          <w:b/>
          <w:color w:val="000000"/>
          <w:lang w:eastAsia="cs-CZ"/>
        </w:rPr>
        <w:t>covidu</w:t>
      </w:r>
      <w:proofErr w:type="spellEnd"/>
      <w:r w:rsidRPr="007A30CB">
        <w:rPr>
          <w:rFonts w:ascii="Calibri" w:eastAsia="Times New Roman" w:hAnsi="Calibri" w:cs="Calibri"/>
          <w:b/>
          <w:color w:val="000000"/>
          <w:lang w:eastAsia="cs-CZ"/>
        </w:rPr>
        <w:t xml:space="preserve"> představila hlavní výzvy, kterým v současnosti čelí kulturní sektor. Akce se zaměřila především na status umělců a umělkyň a nabídla perspektivu domácích i</w:t>
      </w:r>
      <w:r>
        <w:rPr>
          <w:rFonts w:ascii="Calibri" w:eastAsia="Times New Roman" w:hAnsi="Calibri" w:cs="Calibri"/>
          <w:b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b/>
          <w:color w:val="000000"/>
          <w:lang w:eastAsia="cs-CZ"/>
        </w:rPr>
        <w:t>evropských expertů. Na konferenci dostali prostor i samotní umělci a umělkyně, kteří se přihlásili k</w:t>
      </w:r>
      <w:r>
        <w:rPr>
          <w:rFonts w:ascii="Calibri" w:eastAsia="Times New Roman" w:hAnsi="Calibri" w:cs="Calibri"/>
          <w:b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b/>
          <w:color w:val="000000"/>
          <w:lang w:eastAsia="cs-CZ"/>
        </w:rPr>
        <w:t xml:space="preserve">potřebě narovnat podmínky, ve kterých pracují a tím zvýšit prestiž svého postavení ve společnosti.  </w:t>
      </w:r>
    </w:p>
    <w:p w14:paraId="0102DA29" w14:textId="0D34384A" w:rsidR="007A30CB" w:rsidRPr="007A30CB" w:rsidRDefault="007A30CB" w:rsidP="007A30CB">
      <w:pPr>
        <w:spacing w:before="280" w:after="280"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A30CB">
        <w:rPr>
          <w:rFonts w:ascii="Calibri" w:eastAsia="Times New Roman" w:hAnsi="Calibri" w:cs="Calibri"/>
          <w:color w:val="000000"/>
          <w:lang w:eastAsia="cs-CZ"/>
        </w:rPr>
        <w:t xml:space="preserve">Konference, která se uskutečnila 10. dubna 2024 v Konírně Nostického paláce Ministerstva kultury (MK), byla závěrečnou prezentací výstupů projektu Institutu umění – Divadelního ústavu (IDU) a norské státní kulturní rady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Arts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and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Culture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Norway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. Tento projekt se zaměřil na mapování dopadu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covidu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na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kulturní sektor a změny, které se projevily v jeho fungování.   Zástupci projektového týmu včetně ředitelky IDU Pavly Petrové představili konkrétní závěry dílčích výzkumů týkajících se proměn obchodních modelů kulturních organizací a schémat veřejné podpory. Dále poznatky ze studie o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pracovních podmínkách hudebníků a výkonných umělců po skončení programu COVID a zjištění z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kariérních sond umělců a umělkyň v ČR.</w:t>
      </w:r>
    </w:p>
    <w:p w14:paraId="24EEE34C" w14:textId="1198DCCE" w:rsidR="0031452E" w:rsidRPr="007A30CB" w:rsidRDefault="007A30CB" w:rsidP="007A30CB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30CB">
        <w:rPr>
          <w:rFonts w:ascii="Calibri" w:eastAsia="Times New Roman" w:hAnsi="Calibri" w:cs="Calibri"/>
          <w:color w:val="000000"/>
          <w:lang w:eastAsia="cs-CZ"/>
        </w:rPr>
        <w:t>Hlavní poznatky z dílčích prezentací těchto výstupů podtrhly a rozvedly témata, která zazněla 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 xml:space="preserve">úvodním příspěvku Kristin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Danielsen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, ředitelky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Arts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and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Culture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Norway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a výkonné ředitelky IFACCA (International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Federation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of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Arts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Councils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and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Culture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Agencies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>) s názvem Úsvit nové kulturní doby.  Ta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 xml:space="preserve">upozornila na křehkost, nepředvídatelnost a nebezpečnost dnešní doby a její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multikrize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>. Za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současné výzvy, které je nutné v kultuře řešit považuje „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>zvýšenou polarizaci společnosti, vzrůstající sociální nerovnost, stárnutí populace, stěhování obyvatelstva (město/venkov), překotný vývoj technologií, klimatickou změnu, klesající důvěru ve vládu, nedostatek společných cílů a kolektivních řešení, snižující se důvěru ve vládu, stále nebezpečnější a nestabilnější geopolitické změny.</w:t>
      </w:r>
      <w:r w:rsidRPr="007A30CB">
        <w:rPr>
          <w:rFonts w:ascii="Calibri" w:eastAsia="Times New Roman" w:hAnsi="Calibri" w:cs="Calibri"/>
          <w:color w:val="000000"/>
          <w:lang w:eastAsia="cs-CZ"/>
        </w:rPr>
        <w:t xml:space="preserve">“ Na tyto výzvy se snaží reagovat nová strategie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Arts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and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Culture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Norway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>, která si vytyčila za své cíle podporovat inovativnost, rozmanitost a udržitelnost a zvyšovat společenské uznání umění a kultury. Na cestě k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dosažení cílů je pak z perspektivy kulturní politiky a kulturních donátorů potřeba „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 xml:space="preserve">přehodnotit investiční modely s cílem zajistit rozmanitost a udržitelnost, získávat data a důkazy pro předložení 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lastRenderedPageBreak/>
        <w:t>silných argumentů pro kulturu ve veřejné politice a posílit postavení umělců a kulturních pracovníků a chránit jejich uměleckou svobodu.</w:t>
      </w:r>
      <w:r w:rsidRPr="007A30CB">
        <w:rPr>
          <w:rFonts w:ascii="Calibri" w:eastAsia="Times New Roman" w:hAnsi="Calibri" w:cs="Calibri"/>
          <w:color w:val="000000"/>
          <w:lang w:eastAsia="cs-CZ"/>
        </w:rPr>
        <w:t>“</w:t>
      </w:r>
    </w:p>
    <w:p w14:paraId="478A176F" w14:textId="31AF9B21" w:rsidR="007A30CB" w:rsidRDefault="007A30CB" w:rsidP="007A30CB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30CB">
        <w:rPr>
          <w:rFonts w:ascii="Calibri" w:eastAsia="Times New Roman" w:hAnsi="Calibri" w:cs="Calibri"/>
          <w:color w:val="000000"/>
          <w:lang w:eastAsia="cs-CZ"/>
        </w:rPr>
        <w:t xml:space="preserve">O tom, jak je v současné době řešen status umělce na úrovni EU na konferenci hovořil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Joost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Heinsius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, nezávislý odborník, člen pracovní skupiny OMC pro status umělce při Evropské komisi. Představil výsledek pracovní skupiny, kterým je zpráva </w:t>
      </w:r>
      <w:hyperlink r:id="rId11" w:history="1">
        <w:r w:rsidRPr="007A30CB">
          <w:rPr>
            <w:rStyle w:val="Hypertextovodkaz"/>
            <w:rFonts w:ascii="Calibri" w:eastAsia="Times New Roman" w:hAnsi="Calibri" w:cs="Calibri"/>
            <w:lang w:eastAsia="cs-CZ"/>
          </w:rPr>
          <w:t>Postavení a pracovní podmínky umělců a kulturních tvůrčích pracovníků z června 2023</w:t>
        </w:r>
      </w:hyperlink>
      <w:r w:rsidRPr="007A30CB">
        <w:rPr>
          <w:rFonts w:ascii="Calibri" w:eastAsia="Times New Roman" w:hAnsi="Calibri" w:cs="Calibri"/>
          <w:color w:val="000000"/>
          <w:lang w:eastAsia="cs-CZ"/>
        </w:rPr>
        <w:t xml:space="preserve">. Zpráva podrobně popisuje situaci v členských zemích EU a přichází s řadou doporučení týkajících se sociálního zabezpečení, férového odměňování, celoživotního vzdělávání a umělecké svobody. Na základě práce pracovní skupiny vznikla i online platforma </w:t>
      </w:r>
      <w:hyperlink r:id="rId12" w:history="1">
        <w:proofErr w:type="spellStart"/>
        <w:r w:rsidRPr="007A30CB">
          <w:rPr>
            <w:rStyle w:val="Hypertextovodkaz"/>
            <w:rFonts w:ascii="Calibri" w:eastAsia="Times New Roman" w:hAnsi="Calibri" w:cs="Calibri"/>
            <w:lang w:eastAsia="cs-CZ"/>
          </w:rPr>
          <w:t>Creatives</w:t>
        </w:r>
        <w:proofErr w:type="spellEnd"/>
        <w:r w:rsidRPr="007A30CB">
          <w:rPr>
            <w:rStyle w:val="Hypertextovodkaz"/>
            <w:rFonts w:ascii="Calibri" w:eastAsia="Times New Roman" w:hAnsi="Calibri" w:cs="Calibri"/>
            <w:lang w:eastAsia="cs-CZ"/>
          </w:rPr>
          <w:t> </w:t>
        </w:r>
        <w:proofErr w:type="spellStart"/>
        <w:r w:rsidRPr="007A30CB">
          <w:rPr>
            <w:rStyle w:val="Hypertextovodkaz"/>
            <w:rFonts w:ascii="Calibri" w:eastAsia="Times New Roman" w:hAnsi="Calibri" w:cs="Calibri"/>
            <w:lang w:eastAsia="cs-CZ"/>
          </w:rPr>
          <w:t>Unite</w:t>
        </w:r>
        <w:proofErr w:type="spellEnd"/>
      </w:hyperlink>
      <w:r w:rsidRPr="007A30CB">
        <w:rPr>
          <w:rFonts w:ascii="Calibri" w:eastAsia="Times New Roman" w:hAnsi="Calibri" w:cs="Calibri"/>
          <w:color w:val="000000"/>
          <w:lang w:eastAsia="cs-CZ"/>
        </w:rPr>
        <w:t xml:space="preserve">, kde jsou dostupné konkrétní příklady včetně přehledu finanční podpory a rad týkajících se duševního vlastnictví. </w:t>
      </w:r>
      <w:proofErr w:type="spellStart"/>
      <w:r w:rsidRPr="007A30CB">
        <w:rPr>
          <w:rFonts w:ascii="Calibri" w:eastAsia="Times New Roman" w:hAnsi="Calibri" w:cs="Calibri"/>
          <w:color w:val="000000"/>
          <w:lang w:eastAsia="cs-CZ"/>
        </w:rPr>
        <w:t>Joost</w:t>
      </w:r>
      <w:proofErr w:type="spellEnd"/>
      <w:r w:rsidRPr="007A30CB">
        <w:rPr>
          <w:rFonts w:ascii="Calibri" w:eastAsia="Times New Roman" w:hAnsi="Calibri" w:cs="Calibri"/>
          <w:color w:val="000000"/>
          <w:lang w:eastAsia="cs-CZ"/>
        </w:rPr>
        <w:t xml:space="preserve"> se ve svém příspěvku podrobně věnoval otázce kolektivního vyjednávání pro osoby samostatně výdělečně činné a kulturní obci doporučil „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>sjednocovat se v rámci asociací a odborů nejlépe v celostátním měřítku, věnovat se průzkumu příjmů a pracovního postavení umělců a</w:t>
      </w:r>
      <w:r>
        <w:rPr>
          <w:rFonts w:ascii="Calibri" w:eastAsia="Times New Roman" w:hAnsi="Calibri" w:cs="Calibri"/>
          <w:i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>zveřejňovat sazebníky minimálních odměn pro různá odvětví.</w:t>
      </w:r>
      <w:r w:rsidRPr="007A30CB">
        <w:rPr>
          <w:rFonts w:ascii="Calibri" w:eastAsia="Times New Roman" w:hAnsi="Calibri" w:cs="Calibri"/>
          <w:color w:val="000000"/>
          <w:lang w:eastAsia="cs-CZ"/>
        </w:rPr>
        <w:t>“</w:t>
      </w:r>
    </w:p>
    <w:p w14:paraId="5E444155" w14:textId="1D16B23E" w:rsidR="007A30CB" w:rsidRPr="007A30CB" w:rsidRDefault="007A30CB" w:rsidP="007A30CB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30CB">
        <w:rPr>
          <w:rFonts w:ascii="Calibri" w:eastAsia="Times New Roman" w:hAnsi="Calibri" w:cs="Calibri"/>
          <w:color w:val="000000"/>
          <w:lang w:eastAsia="cs-CZ"/>
        </w:rPr>
        <w:t>S aktuálním stavem řešení legislativního návrhu zákona o statusu v ČR účastníky konference seznámila Zuzana Zahradníčková, ředitelka odboru umění, knihoven a kreativních odvětví Ministerstva kultury. Vládní návrh zákona, resp. novelizace zákona č. 203/2006 Sb. se v současné době projednává ve vládě. Novelizace navrhuje vytvoření registru, do nějž mohou umělci a umělkyně dobrovolně vstoupit po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splnění určitých kritérií.  Dále novelizace obsahuje možnost finančního rozšíření a optimalizaci podmínek stávajícího programu tvůrčích a studijních stipendií Ministerstva kultury.  Z živé diskuse, které se účastnil i náměstek ministra kultury Ondřej Chrást, a do které se zapojili i posluchači, vyplynulo, že stávající novelu zákona je nutné chápat jako první krok k řešení množství dílčích opatření, které nejsou pouze v gesci MK, ale je nutné je projednat a dohodnout s dalšími ministerstvy 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příslušnými úřady. Nejvíce diskutovaným tématem bylo kolektivní vyjednávání, které je předpokladem např. pro možnost nastavení minimálních odměn a řešení dalších pracovních podmínek umělců.</w:t>
      </w:r>
    </w:p>
    <w:p w14:paraId="282C0ADC" w14:textId="32E80250" w:rsidR="007A30CB" w:rsidRPr="007A30CB" w:rsidRDefault="007A30CB" w:rsidP="007A30CB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A30CB">
        <w:rPr>
          <w:rFonts w:ascii="Calibri" w:eastAsia="Times New Roman" w:hAnsi="Calibri" w:cs="Calibri"/>
          <w:color w:val="000000"/>
          <w:lang w:eastAsia="cs-CZ"/>
        </w:rPr>
        <w:t>V posledním diskusním panelu konference se ke statusu umělce vyjádřili i umělci a umělkyně.  Jednoznačně se přihlásili k hlavním závěrům dílčí části projektu věnované mapování kariér. Podle Jany Návratové „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>umělectvo pociťuje nedostatek respektu, zájmu a péče ze strany státu​; cítí se přehlíženo a vyloučeno z veřejné</w:t>
      </w:r>
      <w:r w:rsidR="008D089D">
        <w:rPr>
          <w:rFonts w:ascii="Calibri" w:eastAsia="Times New Roman" w:hAnsi="Calibri" w:cs="Calibri"/>
          <w:i/>
          <w:color w:val="000000"/>
          <w:lang w:eastAsia="cs-CZ"/>
        </w:rPr>
        <w:t>ho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 xml:space="preserve"> diskursu. Společnost nedoceňuje relevanci umění pro sociální soudržnost, inkluzi, ochranu a šíření hodnot ani jeho ekonomický přínos.</w:t>
      </w:r>
      <w:r w:rsidRPr="007A30CB">
        <w:rPr>
          <w:rFonts w:ascii="Calibri" w:eastAsia="Times New Roman" w:hAnsi="Calibri" w:cs="Calibri"/>
          <w:color w:val="000000"/>
          <w:lang w:eastAsia="cs-CZ"/>
        </w:rPr>
        <w:t xml:space="preserve">“​ Přítomní umělci uvedli jako hlavní motiv </w:t>
      </w:r>
      <w:r w:rsidRPr="007A30CB">
        <w:rPr>
          <w:rFonts w:ascii="Calibri" w:eastAsia="Times New Roman" w:hAnsi="Calibri" w:cs="Calibri"/>
          <w:color w:val="000000"/>
          <w:lang w:eastAsia="cs-CZ"/>
        </w:rPr>
        <w:lastRenderedPageBreak/>
        <w:t>k přijetí statusu umělce potřebu zvýšit společenskou prestiž svých povolání, protože se setkávají s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A30CB">
        <w:rPr>
          <w:rFonts w:ascii="Calibri" w:eastAsia="Times New Roman" w:hAnsi="Calibri" w:cs="Calibri"/>
          <w:color w:val="000000"/>
          <w:lang w:eastAsia="cs-CZ"/>
        </w:rPr>
        <w:t>nepochopením a znevažováním své práce. Výtvarník Richard Loskot zmínil, že „</w:t>
      </w:r>
      <w:r w:rsidRPr="007A30CB">
        <w:rPr>
          <w:rFonts w:ascii="Calibri" w:eastAsia="Times New Roman" w:hAnsi="Calibri" w:cs="Calibri"/>
          <w:i/>
          <w:color w:val="000000"/>
          <w:lang w:eastAsia="cs-CZ"/>
        </w:rPr>
        <w:t>naše společnost potřebuje vše zařazovat do škatulek a umělecké profese jsou především v kontaktu s úřady nezařaditelné. Právě status umělce může napomoci tomu, že se umělci nebudou muset sami definovat a jako zjihlé laně bloudit prostorem a začínající umělci nebudou muset být náhodnými jiskřičkami, které brzy vyhasnou.</w:t>
      </w:r>
      <w:r w:rsidRPr="007A30CB">
        <w:rPr>
          <w:rFonts w:ascii="Calibri" w:eastAsia="Times New Roman" w:hAnsi="Calibri" w:cs="Calibri"/>
          <w:color w:val="000000"/>
          <w:lang w:eastAsia="cs-CZ"/>
        </w:rPr>
        <w:t>“</w:t>
      </w:r>
    </w:p>
    <w:p w14:paraId="1914FAC3" w14:textId="77777777" w:rsidR="007A30CB" w:rsidRDefault="007A30CB" w:rsidP="0001797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5D081D2" w14:textId="6AD9E40D" w:rsidR="007A30CB" w:rsidRDefault="007A30CB" w:rsidP="0001797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19FAE76" wp14:editId="5A91F51B">
            <wp:extent cx="4295775" cy="2400300"/>
            <wp:effectExtent l="0" t="0" r="9525" b="0"/>
            <wp:docPr id="1" name="Obrázek 1" descr="https://lh7-us.googleusercontent.com/RjYFR_4-opKy-TXRo0xfARcnrDTam6f8mYGewVWYPVd6jVYukz1KmZHhOhnxGJusTJjhAig3x7hLkt5jcLONykmLByGYgI8hxim1wc1LSDKSvY1yzjAHVPfL0JaV5fjOSbSdH8Q3n-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RjYFR_4-opKy-TXRo0xfARcnrDTam6f8mYGewVWYPVd6jVYukz1KmZHhOhnxGJusTJjhAig3x7hLkt5jcLONykmLByGYgI8hxim1wc1LSDKSvY1yzjAHVPfL0JaV5fjOSbSdH8Q3n-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A50F" w14:textId="77777777" w:rsidR="007A30CB" w:rsidRDefault="007A30CB" w:rsidP="0001797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20FE408" w14:textId="39C5052B" w:rsidR="007A30CB" w:rsidRDefault="007A30CB" w:rsidP="0001797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D9FA01C" wp14:editId="012E6572">
            <wp:extent cx="1323975" cy="923925"/>
            <wp:effectExtent l="0" t="0" r="9525" b="9525"/>
            <wp:docPr id="2" name="Obrázek 2" descr="https://lh7-us.googleusercontent.com/5Yid6IFgcfaP3Svy5VcqbBkSPc0mTsSD532MRAVRsZn-TiE4vamnyKJrYgRqnMjQy2rvgMcnqpYm9c5lzyAwSCe2yG1wKiNjtVan3sORWUknWylsTnO-EcZ59ie7nboAHzA2iKiaIS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5Yid6IFgcfaP3Svy5VcqbBkSPc0mTsSD532MRAVRsZn-TiE4vamnyKJrYgRqnMjQy2rvgMcnqpYm9c5lzyAwSCe2yG1wKiNjtVan3sORWUknWylsTnO-EcZ59ie7nboAHzA2iKiaIS8-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CEF99B1" wp14:editId="13391F56">
            <wp:extent cx="1323975" cy="914400"/>
            <wp:effectExtent l="0" t="0" r="9525" b="0"/>
            <wp:docPr id="3" name="Obrázek 3" descr="https://lh7-us.googleusercontent.com/gw5sjDb_NUfJaX4ctNx--yoKEpKFjCULfynPT6Ol3xcI2h1FVCwr2rXz7ikibOjZmarCZQzxuJS_n7SKWPDx7DbLcvuoelCcrRsMVNCyQ9p8XrO44-xmOUFAmwoml42ElpSPtQTjTi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gw5sjDb_NUfJaX4ctNx--yoKEpKFjCULfynPT6Ol3xcI2h1FVCwr2rXz7ikibOjZmarCZQzxuJS_n7SKWPDx7DbLcvuoelCcrRsMVNCyQ9p8XrO44-xmOUFAmwoml42ElpSPtQTjTiH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2C60" w14:textId="363EAFA3" w:rsidR="007A30CB" w:rsidRDefault="00016172" w:rsidP="007A30C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16" w:history="1"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>Záznam konference</w:t>
        </w:r>
      </w:hyperlink>
    </w:p>
    <w:p w14:paraId="796E188B" w14:textId="0F73977E" w:rsidR="00245FF4" w:rsidRPr="007A30CB" w:rsidRDefault="00016172" w:rsidP="007A30C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17" w:history="1">
        <w:r w:rsidR="00245FF4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>P</w:t>
        </w:r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 xml:space="preserve">rojekt Post </w:t>
        </w:r>
        <w:proofErr w:type="spellStart"/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>Covid</w:t>
        </w:r>
        <w:proofErr w:type="spellEnd"/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>Adaptation</w:t>
        </w:r>
        <w:proofErr w:type="spellEnd"/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>Models</w:t>
        </w:r>
        <w:proofErr w:type="spellEnd"/>
        <w:r w:rsidR="0031452E" w:rsidRPr="00245FF4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cs-CZ"/>
          </w:rPr>
          <w:t xml:space="preserve"> in Culture</w:t>
        </w:r>
      </w:hyperlink>
    </w:p>
    <w:p w14:paraId="72E6BF74" w14:textId="2D1C53A1" w:rsidR="00245FF4" w:rsidRPr="00245FF4" w:rsidRDefault="00245FF4" w:rsidP="0001797F">
      <w:pPr>
        <w:spacing w:after="16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45FF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Kontakt: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Anna Poláková</w:t>
      </w:r>
      <w:r w:rsidR="0001797F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hyperlink r:id="rId18" w:history="1">
        <w:r w:rsidR="0001797F" w:rsidRPr="009B1C75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anna.polakova@idu.cz</w:t>
        </w:r>
      </w:hyperlink>
      <w:r w:rsidR="0001797F">
        <w:rPr>
          <w:rFonts w:ascii="Calibri" w:eastAsia="Times New Roman" w:hAnsi="Calibri" w:cs="Calibri"/>
          <w:sz w:val="24"/>
          <w:szCs w:val="24"/>
          <w:lang w:eastAsia="cs-CZ"/>
        </w:rPr>
        <w:t>, +420 721 431 516</w:t>
      </w:r>
      <w:bookmarkStart w:id="0" w:name="_GoBack"/>
      <w:bookmarkEnd w:id="0"/>
    </w:p>
    <w:p w14:paraId="79C52D6D" w14:textId="77777777" w:rsidR="00245FF4" w:rsidRPr="00245FF4" w:rsidRDefault="00245FF4" w:rsidP="00245FF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022964" w14:textId="42FAD0BF" w:rsidR="008878D9" w:rsidRDefault="008878D9" w:rsidP="008878D9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/>
          <w:bdr w:val="none" w:sz="0" w:space="0" w:color="auto" w:frame="1"/>
        </w:rPr>
      </w:pPr>
    </w:p>
    <w:sectPr w:rsidR="008878D9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69A2" w14:textId="77777777" w:rsidR="00422FD3" w:rsidRDefault="00422FD3" w:rsidP="00802AEF">
      <w:pPr>
        <w:spacing w:after="0" w:line="240" w:lineRule="auto"/>
      </w:pPr>
      <w:r>
        <w:separator/>
      </w:r>
    </w:p>
  </w:endnote>
  <w:endnote w:type="continuationSeparator" w:id="0">
    <w:p w14:paraId="759CE127" w14:textId="77777777" w:rsidR="00422FD3" w:rsidRDefault="00422FD3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06CC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C288F79" wp14:editId="4B14F3F7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D27E" w14:textId="77777777" w:rsidR="00422FD3" w:rsidRDefault="00422FD3" w:rsidP="00802AEF">
      <w:pPr>
        <w:spacing w:after="0" w:line="240" w:lineRule="auto"/>
      </w:pPr>
      <w:r>
        <w:separator/>
      </w:r>
    </w:p>
  </w:footnote>
  <w:footnote w:type="continuationSeparator" w:id="0">
    <w:p w14:paraId="660B80EA" w14:textId="77777777" w:rsidR="00422FD3" w:rsidRDefault="00422FD3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2450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69C00DC5" wp14:editId="07DD3435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22"/>
    <w:rsid w:val="00016172"/>
    <w:rsid w:val="0001797F"/>
    <w:rsid w:val="00144315"/>
    <w:rsid w:val="00192BE8"/>
    <w:rsid w:val="001C0564"/>
    <w:rsid w:val="001C46B5"/>
    <w:rsid w:val="001E0C5C"/>
    <w:rsid w:val="00224495"/>
    <w:rsid w:val="00245FF4"/>
    <w:rsid w:val="0026099E"/>
    <w:rsid w:val="002678F3"/>
    <w:rsid w:val="0031452E"/>
    <w:rsid w:val="003A7F2C"/>
    <w:rsid w:val="003B2260"/>
    <w:rsid w:val="003D3A31"/>
    <w:rsid w:val="003D723E"/>
    <w:rsid w:val="00422FD3"/>
    <w:rsid w:val="004C0173"/>
    <w:rsid w:val="004E667E"/>
    <w:rsid w:val="005A22CA"/>
    <w:rsid w:val="005C3A88"/>
    <w:rsid w:val="005C493B"/>
    <w:rsid w:val="00676188"/>
    <w:rsid w:val="00695598"/>
    <w:rsid w:val="006D649D"/>
    <w:rsid w:val="006E6526"/>
    <w:rsid w:val="00754A80"/>
    <w:rsid w:val="007A30CB"/>
    <w:rsid w:val="007C1044"/>
    <w:rsid w:val="00802AEF"/>
    <w:rsid w:val="00802E07"/>
    <w:rsid w:val="00860FAF"/>
    <w:rsid w:val="008642C4"/>
    <w:rsid w:val="008878D9"/>
    <w:rsid w:val="008C2809"/>
    <w:rsid w:val="008C652A"/>
    <w:rsid w:val="008D089D"/>
    <w:rsid w:val="008D6E77"/>
    <w:rsid w:val="009B113D"/>
    <w:rsid w:val="009D2536"/>
    <w:rsid w:val="009F58CB"/>
    <w:rsid w:val="00A32F87"/>
    <w:rsid w:val="00A566E9"/>
    <w:rsid w:val="00A62E71"/>
    <w:rsid w:val="00A9561C"/>
    <w:rsid w:val="00C14BC2"/>
    <w:rsid w:val="00CF5BD4"/>
    <w:rsid w:val="00D86D22"/>
    <w:rsid w:val="00E1380A"/>
    <w:rsid w:val="00EA6A1A"/>
    <w:rsid w:val="00EC0A41"/>
    <w:rsid w:val="00F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F3181"/>
  <w15:docId w15:val="{9DEFEE4C-8357-41CB-9E7F-16B8013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D8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86D22"/>
  </w:style>
  <w:style w:type="character" w:customStyle="1" w:styleId="eop">
    <w:name w:val="eop"/>
    <w:basedOn w:val="Standardnpsmoodstavce"/>
    <w:rsid w:val="00D86D22"/>
  </w:style>
  <w:style w:type="character" w:customStyle="1" w:styleId="spellingerror">
    <w:name w:val="spellingerror"/>
    <w:basedOn w:val="Standardnpsmoodstavce"/>
    <w:rsid w:val="00D86D22"/>
  </w:style>
  <w:style w:type="paragraph" w:styleId="Normlnweb">
    <w:name w:val="Normal (Web)"/>
    <w:basedOn w:val="Normln"/>
    <w:uiPriority w:val="99"/>
    <w:unhideWhenUsed/>
    <w:rsid w:val="005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493B"/>
    <w:rPr>
      <w:b/>
      <w:bCs/>
    </w:rPr>
  </w:style>
  <w:style w:type="character" w:customStyle="1" w:styleId="markguoynttpo">
    <w:name w:val="markguoynttpo"/>
    <w:basedOn w:val="Standardnpsmoodstavce"/>
    <w:rsid w:val="005C493B"/>
  </w:style>
  <w:style w:type="character" w:styleId="Hypertextovodkaz">
    <w:name w:val="Hyperlink"/>
    <w:basedOn w:val="Standardnpsmoodstavce"/>
    <w:uiPriority w:val="99"/>
    <w:unhideWhenUsed/>
    <w:rsid w:val="005C49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52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anna.polakova@idu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reativesunite.eu/work-condition" TargetMode="External"/><Relationship Id="rId17" Type="http://schemas.openxmlformats.org/officeDocument/2006/relationships/hyperlink" Target="https://www.idu.cz/cs/o-nas/veda-a-vyzkum/vedeckovyzkumne-projekty/3159-post-covid-adaptation-models-in-cult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u.cz/cs/aktualne/kalendar-akci/6601-stred-zajmu-umelci-a-kultura-po-covi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postaveni-a-pracovni-podminky-umelcu-a-kulturnich-a-tvurcich-pracovnik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EC047-46F5-4379-B8B3-5C44A8CE7DD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b66e18-8cc9-4286-b396-6b9e68677bb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B00909-C46B-4A30-8B1D-DA12ABE97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E5435-12F9-4302-B3DC-8E4838ED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9</TotalTime>
  <Pages>3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Poláková Anna</cp:lastModifiedBy>
  <cp:revision>3</cp:revision>
  <cp:lastPrinted>2023-04-18T11:03:00Z</cp:lastPrinted>
  <dcterms:created xsi:type="dcterms:W3CDTF">2024-04-17T11:07:00Z</dcterms:created>
  <dcterms:modified xsi:type="dcterms:W3CDTF">2024-04-17T11:34:00Z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